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BE497F" w14:textId="77777777" w:rsidR="001C2B3F" w:rsidRDefault="001C2B3F" w:rsidP="001C2B3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PHL/NEU 251: NEUROETHICS</w:t>
      </w:r>
    </w:p>
    <w:p w14:paraId="03165F0A" w14:textId="77777777" w:rsidR="001C2B3F" w:rsidRDefault="001C2B3F" w:rsidP="001C2B3F">
      <w:pPr>
        <w:jc w:val="center"/>
        <w:rPr>
          <w:rFonts w:ascii="Times New Roman" w:eastAsia="Times New Roman" w:hAnsi="Times New Roman" w:cs="Times New Roman"/>
          <w:b/>
          <w:sz w:val="24"/>
          <w:szCs w:val="24"/>
        </w:rPr>
      </w:pPr>
    </w:p>
    <w:p w14:paraId="0C48A434" w14:textId="77777777" w:rsidR="001C2B3F" w:rsidRDefault="001C2B3F" w:rsidP="001C2B3F">
      <w:pPr>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Samuel Murray</w:t>
      </w:r>
    </w:p>
    <w:p w14:paraId="59D020C1" w14:textId="77777777" w:rsidR="001C2B3F" w:rsidRDefault="001C2B3F" w:rsidP="001C2B3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Philosophy/Neuroscience</w:t>
      </w:r>
    </w:p>
    <w:p w14:paraId="20856FFC" w14:textId="77777777" w:rsidR="001C2B3F" w:rsidRDefault="001C2B3F" w:rsidP="001C2B3F">
      <w:pPr>
        <w:jc w:val="center"/>
        <w:rPr>
          <w:rFonts w:ascii="Times New Roman" w:eastAsia="Times New Roman" w:hAnsi="Times New Roman" w:cs="Times New Roman"/>
          <w:sz w:val="24"/>
          <w:szCs w:val="24"/>
        </w:rPr>
      </w:pPr>
      <w:hyperlink r:id="rId5">
        <w:r>
          <w:rPr>
            <w:rFonts w:ascii="Times New Roman" w:eastAsia="Times New Roman" w:hAnsi="Times New Roman" w:cs="Times New Roman"/>
            <w:color w:val="1155CC"/>
            <w:sz w:val="24"/>
            <w:szCs w:val="24"/>
            <w:u w:val="single"/>
          </w:rPr>
          <w:t>smurray7@providence.edu</w:t>
        </w:r>
      </w:hyperlink>
    </w:p>
    <w:p w14:paraId="3A25E5F9" w14:textId="77777777" w:rsidR="001C2B3F" w:rsidRDefault="001C2B3F" w:rsidP="001C2B3F">
      <w:pPr>
        <w:jc w:val="center"/>
        <w:rPr>
          <w:rFonts w:ascii="Times New Roman" w:eastAsia="Times New Roman" w:hAnsi="Times New Roman" w:cs="Times New Roman"/>
          <w:sz w:val="24"/>
          <w:szCs w:val="24"/>
        </w:rPr>
      </w:pPr>
    </w:p>
    <w:p w14:paraId="5AF4499D" w14:textId="77777777" w:rsidR="001C2B3F" w:rsidRDefault="001C2B3F" w:rsidP="001C2B3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 time: MWF 11:30 – 12:20 (Harkins LL13)</w:t>
      </w:r>
    </w:p>
    <w:p w14:paraId="68B8E2CD" w14:textId="77777777" w:rsidR="001C2B3F" w:rsidRDefault="001C2B3F" w:rsidP="00CF021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Office hours: M 9:30 – 11 or by appointment (Siena 125)</w:t>
      </w:r>
    </w:p>
    <w:p w14:paraId="17E1B95A" w14:textId="77777777" w:rsidR="00CF0213" w:rsidRPr="00CF0213" w:rsidRDefault="00CF0213" w:rsidP="00CF0213">
      <w:pPr>
        <w:jc w:val="center"/>
        <w:rPr>
          <w:rFonts w:ascii="Times New Roman" w:eastAsia="Times New Roman" w:hAnsi="Times New Roman" w:cs="Times New Roman"/>
          <w:b/>
          <w:sz w:val="24"/>
          <w:szCs w:val="24"/>
        </w:rPr>
      </w:pPr>
    </w:p>
    <w:p w14:paraId="4990743B" w14:textId="77777777" w:rsidR="001C2B3F" w:rsidRDefault="001C2B3F" w:rsidP="001C2B3F">
      <w:pPr>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Course Description</w:t>
      </w:r>
    </w:p>
    <w:p w14:paraId="45C7E0A9" w14:textId="77777777" w:rsidR="001C2B3F" w:rsidRDefault="001C2B3F" w:rsidP="001C2B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should we do with our discoveries in neuroscience? Do discoveries in neuroscience inform what we should do?</w:t>
      </w:r>
    </w:p>
    <w:p w14:paraId="20029C72" w14:textId="77777777" w:rsidR="001C2B3F" w:rsidRDefault="001C2B3F" w:rsidP="001C2B3F">
      <w:pPr>
        <w:rPr>
          <w:rFonts w:ascii="Times New Roman" w:eastAsia="Times New Roman" w:hAnsi="Times New Roman" w:cs="Times New Roman"/>
          <w:sz w:val="24"/>
          <w:szCs w:val="24"/>
        </w:rPr>
      </w:pPr>
    </w:p>
    <w:p w14:paraId="1F388E38" w14:textId="77777777" w:rsidR="001C2B3F" w:rsidRDefault="001C2B3F" w:rsidP="001C2B3F">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Required texts</w:t>
      </w:r>
    </w:p>
    <w:p w14:paraId="57B4B4C9" w14:textId="77777777" w:rsidR="002627AE" w:rsidRDefault="00000000">
      <w:pPr>
        <w:pStyle w:val="ListParagraph"/>
        <w:numPr>
          <w:ilvl w:val="0"/>
          <w:numId w:val="1"/>
        </w:numPr>
        <w:spacing w:line="240" w:lineRule="auto"/>
        <w:rPr>
          <w:rFonts w:ascii="Times New Roman" w:hAnsi="Times New Roman" w:cs="Times New Roman"/>
        </w:rPr>
      </w:pPr>
      <w:r>
        <w:rPr>
          <w:rFonts w:ascii="Times New Roman" w:eastAsia="Times New Roman" w:hAnsi="Times New Roman" w:cs="Times New Roman"/>
        </w:rPr>
        <w:t xml:space="preserve">Purves, D., Cabeza, R., Huettel, S., LaBar, K., Platt, M., &amp; Woldorff, M. 2013. </w:t>
      </w:r>
      <w:r>
        <w:rPr>
          <w:rFonts w:ascii="Times New Roman" w:eastAsia="Times New Roman" w:hAnsi="Times New Roman" w:cs="Times New Roman"/>
          <w:i/>
          <w:iCs/>
        </w:rPr>
        <w:t>Principles of Cognitive Neuroscience</w:t>
      </w:r>
      <w:r>
        <w:rPr>
          <w:rFonts w:ascii="Times New Roman" w:eastAsia="Times New Roman" w:hAnsi="Times New Roman" w:cs="Times New Roman"/>
        </w:rPr>
        <w:t>, 2nd ed. (Sinauer/Oxford University Press) — “PCN”</w:t>
      </w:r>
    </w:p>
    <w:p w14:paraId="4A8876EF" w14:textId="77777777" w:rsidR="001C2B3F" w:rsidRDefault="001C2B3F" w:rsidP="001C2B3F">
      <w:pPr>
        <w:pStyle w:val="ListParagraph"/>
        <w:numPr>
          <w:ilvl w:val="0"/>
          <w:numId w:val="1"/>
        </w:numPr>
        <w:spacing w:line="240" w:lineRule="auto"/>
        <w:rPr>
          <w:rFonts w:ascii="Times New Roman" w:hAnsi="Times New Roman" w:cs="Times New Roman"/>
        </w:rPr>
      </w:pPr>
      <w:r>
        <w:rPr>
          <w:rFonts w:ascii="Times New Roman" w:hAnsi="Times New Roman" w:cs="Times New Roman"/>
        </w:rPr>
        <w:t xml:space="preserve">May, J. 2023. </w:t>
      </w:r>
      <w:r>
        <w:rPr>
          <w:rFonts w:ascii="Times New Roman" w:hAnsi="Times New Roman" w:cs="Times New Roman"/>
          <w:i/>
          <w:iCs/>
        </w:rPr>
        <w:t xml:space="preserve">Neuroethics </w:t>
      </w:r>
      <w:r>
        <w:rPr>
          <w:rFonts w:ascii="Times New Roman" w:hAnsi="Times New Roman" w:cs="Times New Roman"/>
        </w:rPr>
        <w:t>(Oxford: Oxford University Press).</w:t>
      </w:r>
    </w:p>
    <w:p w14:paraId="70478896" w14:textId="77777777" w:rsidR="002627AE" w:rsidRDefault="00000000">
      <w:pPr>
        <w:pStyle w:val="ListParagraph"/>
        <w:numPr>
          <w:ilvl w:val="0"/>
          <w:numId w:val="1"/>
        </w:numPr>
        <w:spacing w:line="240" w:lineRule="auto"/>
        <w:rPr>
          <w:rFonts w:ascii="Times New Roman" w:hAnsi="Times New Roman" w:cs="Times New Roman"/>
        </w:rPr>
      </w:pPr>
      <w:r>
        <w:rPr>
          <w:rFonts w:ascii="Times New Roman" w:eastAsia="Times New Roman" w:hAnsi="Times New Roman" w:cs="Times New Roman"/>
        </w:rPr>
        <w:t xml:space="preserve">Pickard, H. 2026. </w:t>
      </w:r>
      <w:r>
        <w:rPr>
          <w:rFonts w:ascii="Times New Roman" w:eastAsia="Times New Roman" w:hAnsi="Times New Roman" w:cs="Times New Roman"/>
          <w:i/>
          <w:iCs/>
        </w:rPr>
        <w:t>What Would You Do Alone in a Cage with Nothing but Cocaine? A Philosophy of Addiction</w:t>
      </w:r>
      <w:r>
        <w:rPr>
          <w:rFonts w:ascii="Times New Roman" w:eastAsia="Times New Roman" w:hAnsi="Times New Roman" w:cs="Times New Roman"/>
        </w:rPr>
        <w:t xml:space="preserve"> (Princeton University Press)</w:t>
      </w:r>
    </w:p>
    <w:p w14:paraId="034FD390" w14:textId="77777777" w:rsidR="002627AE" w:rsidRDefault="00000000">
      <w:pPr>
        <w:pStyle w:val="ListParagraph"/>
        <w:numPr>
          <w:ilvl w:val="0"/>
          <w:numId w:val="1"/>
        </w:numPr>
        <w:spacing w:line="240" w:lineRule="auto"/>
        <w:rPr>
          <w:rFonts w:ascii="Times New Roman" w:hAnsi="Times New Roman" w:cs="Times New Roman"/>
        </w:rPr>
      </w:pPr>
      <w:r>
        <w:rPr>
          <w:rFonts w:ascii="Times New Roman" w:eastAsia="Times New Roman" w:hAnsi="Times New Roman" w:cs="Times New Roman"/>
        </w:rPr>
        <w:t xml:space="preserve">Letheby, C. 2021. </w:t>
      </w:r>
      <w:r>
        <w:rPr>
          <w:rFonts w:ascii="Times New Roman" w:eastAsia="Times New Roman" w:hAnsi="Times New Roman" w:cs="Times New Roman"/>
          <w:i/>
          <w:iCs/>
        </w:rPr>
        <w:t>Philosophy of Psychedelics</w:t>
      </w:r>
      <w:r>
        <w:rPr>
          <w:rFonts w:ascii="Times New Roman" w:eastAsia="Times New Roman" w:hAnsi="Times New Roman" w:cs="Times New Roman"/>
        </w:rPr>
        <w:t xml:space="preserve"> (Oxford University Press)</w:t>
      </w:r>
    </w:p>
    <w:p w14:paraId="2873F289" w14:textId="77777777" w:rsidR="002627AE" w:rsidRDefault="00000000">
      <w:pPr>
        <w:pStyle w:val="ListParagraph"/>
        <w:numPr>
          <w:ilvl w:val="0"/>
          <w:numId w:val="1"/>
        </w:numPr>
        <w:spacing w:line="240" w:lineRule="auto"/>
        <w:rPr>
          <w:rFonts w:ascii="Times New Roman" w:hAnsi="Times New Roman" w:cs="Times New Roman"/>
        </w:rPr>
      </w:pPr>
      <w:r>
        <w:rPr>
          <w:rFonts w:ascii="Times New Roman" w:eastAsia="Times New Roman" w:hAnsi="Times New Roman" w:cs="Times New Roman"/>
        </w:rPr>
        <w:t xml:space="preserve">Seth, A. 2021. </w:t>
      </w:r>
      <w:r>
        <w:rPr>
          <w:rFonts w:ascii="Times New Roman" w:eastAsia="Times New Roman" w:hAnsi="Times New Roman" w:cs="Times New Roman"/>
          <w:i/>
          <w:iCs/>
        </w:rPr>
        <w:t>Being You: A New Science of Consciousness</w:t>
      </w:r>
      <w:r>
        <w:rPr>
          <w:rFonts w:ascii="Times New Roman" w:eastAsia="Times New Roman" w:hAnsi="Times New Roman" w:cs="Times New Roman"/>
        </w:rPr>
        <w:t xml:space="preserve"> (Dutton/Faber)</w:t>
      </w:r>
    </w:p>
    <w:p w14:paraId="032C4698" w14:textId="70F16844" w:rsidR="002627AE" w:rsidRDefault="00000000">
      <w:pPr>
        <w:pStyle w:val="ListParagraph"/>
        <w:numPr>
          <w:ilvl w:val="0"/>
          <w:numId w:val="1"/>
        </w:numPr>
        <w:spacing w:line="240" w:lineRule="auto"/>
        <w:rPr>
          <w:rFonts w:ascii="Times New Roman" w:hAnsi="Times New Roman" w:cs="Times New Roman"/>
        </w:rPr>
      </w:pPr>
      <w:r>
        <w:rPr>
          <w:rFonts w:ascii="Times New Roman" w:eastAsia="Times New Roman" w:hAnsi="Times New Roman" w:cs="Times New Roman"/>
        </w:rPr>
        <w:t xml:space="preserve">Additional readings are available on Canvas as PDFs, including excerpts from Purves et al., </w:t>
      </w:r>
      <w:r>
        <w:rPr>
          <w:rFonts w:ascii="Times New Roman" w:eastAsia="Times New Roman" w:hAnsi="Times New Roman" w:cs="Times New Roman"/>
          <w:i/>
          <w:iCs/>
        </w:rPr>
        <w:t>Neuroscience</w:t>
      </w:r>
      <w:r>
        <w:rPr>
          <w:rFonts w:ascii="Times New Roman" w:eastAsia="Times New Roman" w:hAnsi="Times New Roman" w:cs="Times New Roman"/>
        </w:rPr>
        <w:t>, 6th ed. — “Neuro6</w:t>
      </w:r>
      <w:r w:rsidR="00F9164A">
        <w:rPr>
          <w:rFonts w:ascii="Times New Roman" w:eastAsia="Times New Roman" w:hAnsi="Times New Roman" w:cs="Times New Roman"/>
        </w:rPr>
        <w:t>”</w:t>
      </w:r>
      <w:r>
        <w:rPr>
          <w:rFonts w:ascii="Times New Roman" w:eastAsia="Times New Roman" w:hAnsi="Times New Roman" w:cs="Times New Roman"/>
        </w:rPr>
        <w:t>.</w:t>
      </w:r>
    </w:p>
    <w:p w14:paraId="549CF103" w14:textId="77777777" w:rsidR="001C2B3F" w:rsidRDefault="001C2B3F" w:rsidP="001C2B3F">
      <w:pPr>
        <w:rPr>
          <w:rFonts w:ascii="Times New Roman" w:eastAsia="Times New Roman" w:hAnsi="Times New Roman" w:cs="Times New Roman"/>
          <w:i/>
          <w:sz w:val="24"/>
          <w:szCs w:val="24"/>
        </w:rPr>
      </w:pPr>
    </w:p>
    <w:p w14:paraId="23D6D7FC" w14:textId="77777777" w:rsidR="001C2B3F" w:rsidRPr="00D329EE" w:rsidRDefault="001C2B3F" w:rsidP="001C2B3F">
      <w:pPr>
        <w:jc w:val="center"/>
        <w:rPr>
          <w:rFonts w:ascii="Times New Roman" w:hAnsi="Times New Roman" w:cs="Times New Roman"/>
          <w:sz w:val="24"/>
          <w:szCs w:val="24"/>
        </w:rPr>
      </w:pPr>
      <w:r>
        <w:rPr>
          <w:rFonts w:ascii="Times New Roman" w:hAnsi="Times New Roman" w:cs="Times New Roman"/>
          <w:i/>
          <w:iCs/>
          <w:sz w:val="24"/>
          <w:szCs w:val="24"/>
        </w:rPr>
        <w:t>Assessment</w:t>
      </w:r>
    </w:p>
    <w:p w14:paraId="0428AB81" w14:textId="77777777" w:rsidR="00AD4B5A" w:rsidRDefault="00AD4B5A" w:rsidP="001C2B3F">
      <w:pPr>
        <w:pStyle w:val="ListParagraph"/>
        <w:numPr>
          <w:ilvl w:val="0"/>
          <w:numId w:val="2"/>
        </w:numPr>
        <w:spacing w:line="240" w:lineRule="auto"/>
        <w:ind w:left="360"/>
        <w:jc w:val="both"/>
        <w:rPr>
          <w:rFonts w:ascii="Times New Roman" w:hAnsi="Times New Roman" w:cs="Times New Roman"/>
        </w:rPr>
      </w:pPr>
      <w:r>
        <w:rPr>
          <w:rFonts w:ascii="Times New Roman" w:hAnsi="Times New Roman" w:cs="Times New Roman"/>
          <w:b/>
          <w:bCs/>
        </w:rPr>
        <w:t>Campus survey</w:t>
      </w:r>
      <w:r>
        <w:rPr>
          <w:rFonts w:ascii="Times New Roman" w:hAnsi="Times New Roman" w:cs="Times New Roman"/>
        </w:rPr>
        <w:t xml:space="preserve"> (10%) – As part of an ongoing effort to measure campus climate, I will have you distribute a survey to 10 people. You will also be asked to take the survey for a total of 11 responses. I will distribute a link to the survey. Responses should be collected by </w:t>
      </w:r>
      <w:r>
        <w:rPr>
          <w:rFonts w:ascii="Times New Roman" w:hAnsi="Times New Roman" w:cs="Times New Roman"/>
          <w:b/>
          <w:bCs/>
        </w:rPr>
        <w:t>October 9</w:t>
      </w:r>
      <w:r>
        <w:rPr>
          <w:rFonts w:ascii="Times New Roman" w:hAnsi="Times New Roman" w:cs="Times New Roman"/>
        </w:rPr>
        <w:t>.</w:t>
      </w:r>
    </w:p>
    <w:p w14:paraId="274815E2" w14:textId="77777777" w:rsidR="00AD4B5A" w:rsidRPr="00AD4B5A" w:rsidRDefault="00AD4B5A" w:rsidP="00AD4B5A">
      <w:pPr>
        <w:pStyle w:val="ListParagraph"/>
        <w:spacing w:line="240" w:lineRule="auto"/>
        <w:ind w:left="360"/>
        <w:jc w:val="both"/>
        <w:rPr>
          <w:rFonts w:ascii="Times New Roman" w:hAnsi="Times New Roman" w:cs="Times New Roman"/>
        </w:rPr>
      </w:pPr>
    </w:p>
    <w:p w14:paraId="137C446A" w14:textId="77777777" w:rsidR="001C2B3F" w:rsidRPr="00D57264" w:rsidRDefault="001C2B3F" w:rsidP="001C2B3F">
      <w:pPr>
        <w:pStyle w:val="ListParagraph"/>
        <w:numPr>
          <w:ilvl w:val="0"/>
          <w:numId w:val="2"/>
        </w:numPr>
        <w:spacing w:line="240" w:lineRule="auto"/>
        <w:ind w:left="360"/>
        <w:jc w:val="both"/>
        <w:rPr>
          <w:rFonts w:ascii="Times New Roman" w:hAnsi="Times New Roman" w:cs="Times New Roman"/>
        </w:rPr>
      </w:pPr>
      <w:r>
        <w:rPr>
          <w:rFonts w:ascii="Times New Roman" w:hAnsi="Times New Roman" w:cs="Times New Roman"/>
          <w:b/>
          <w:bCs/>
        </w:rPr>
        <w:t xml:space="preserve">Discussion pieces </w:t>
      </w:r>
      <w:r>
        <w:rPr>
          <w:rFonts w:ascii="Times New Roman" w:hAnsi="Times New Roman" w:cs="Times New Roman"/>
        </w:rPr>
        <w:t>(15%) – Each week, you will submit a short (150-200 word) summary of a “target article” that provides some critical questions to launch discussion during the relevant class meeting. Discussion pieces must be submitted by 5pm the day before the relevant meeting. These pieces should show that you’ve done the reading and spent some time thinking about it. The target article is determined by random draw announced each Friday (so, e.g., if you are assigned to Group 1, your target article is Monday. Group 2? Your article is Wednesday. And 3? Friday. If we have an abbreviated week, then we’ll do two groups). I’ll provide an example summary in Week 2, so this assignment will not start until Week 3. You do not need to work together with people in your group, although it’s fine to talk about the article with others as you prepare your summary.</w:t>
      </w:r>
    </w:p>
    <w:p w14:paraId="21594AA9" w14:textId="77777777" w:rsidR="001C2B3F" w:rsidRPr="00D57264" w:rsidRDefault="001C2B3F" w:rsidP="001C2B3F">
      <w:pPr>
        <w:ind w:left="360"/>
        <w:jc w:val="both"/>
        <w:rPr>
          <w:rFonts w:ascii="Times New Roman" w:hAnsi="Times New Roman" w:cs="Times New Roman"/>
        </w:rPr>
      </w:pPr>
    </w:p>
    <w:p w14:paraId="7991F90D" w14:textId="77777777" w:rsidR="001C2B3F" w:rsidRDefault="001C2B3F" w:rsidP="001C2B3F">
      <w:pPr>
        <w:pStyle w:val="ListParagraph"/>
        <w:numPr>
          <w:ilvl w:val="0"/>
          <w:numId w:val="2"/>
        </w:numPr>
        <w:spacing w:line="240" w:lineRule="auto"/>
        <w:ind w:left="360"/>
        <w:jc w:val="both"/>
        <w:rPr>
          <w:rFonts w:ascii="Times New Roman" w:hAnsi="Times New Roman" w:cs="Times New Roman"/>
        </w:rPr>
      </w:pPr>
      <w:r>
        <w:rPr>
          <w:rFonts w:ascii="Times New Roman" w:hAnsi="Times New Roman" w:cs="Times New Roman"/>
          <w:b/>
          <w:bCs/>
        </w:rPr>
        <w:t xml:space="preserve">Mid-term exam </w:t>
      </w:r>
      <w:r>
        <w:rPr>
          <w:rFonts w:ascii="Times New Roman" w:hAnsi="Times New Roman" w:cs="Times New Roman"/>
        </w:rPr>
        <w:t xml:space="preserve">(25%; </w:t>
      </w:r>
      <w:r>
        <w:rPr>
          <w:rFonts w:ascii="Times New Roman" w:hAnsi="Times New Roman" w:cs="Times New Roman"/>
          <w:i/>
          <w:iCs/>
        </w:rPr>
        <w:t>in class, Tue. Oct. 13</w:t>
      </w:r>
      <w:r>
        <w:rPr>
          <w:rFonts w:ascii="Times New Roman" w:hAnsi="Times New Roman" w:cs="Times New Roman"/>
        </w:rPr>
        <w:t>): There will be a mid-term exam on basic elements of moral theory and neuroscience methodology. The format of the exam will consist of short answer questions, short essays, and one “synthetic” essay.</w:t>
      </w:r>
    </w:p>
    <w:p w14:paraId="700C68BF" w14:textId="77777777" w:rsidR="001C2B3F" w:rsidRPr="001C2B3F" w:rsidRDefault="001C2B3F" w:rsidP="001C2B3F">
      <w:pPr>
        <w:spacing w:line="240" w:lineRule="auto"/>
        <w:jc w:val="both"/>
        <w:rPr>
          <w:rFonts w:ascii="Times New Roman" w:hAnsi="Times New Roman" w:cs="Times New Roman"/>
        </w:rPr>
      </w:pPr>
    </w:p>
    <w:p w14:paraId="271B5F59" w14:textId="77777777" w:rsidR="001C2B3F" w:rsidRDefault="001C2B3F" w:rsidP="001C2B3F">
      <w:pPr>
        <w:pStyle w:val="ListParagraph"/>
        <w:numPr>
          <w:ilvl w:val="0"/>
          <w:numId w:val="2"/>
        </w:numPr>
        <w:spacing w:line="240" w:lineRule="auto"/>
        <w:ind w:left="360"/>
        <w:jc w:val="both"/>
        <w:rPr>
          <w:rFonts w:ascii="Times New Roman" w:hAnsi="Times New Roman" w:cs="Times New Roman"/>
        </w:rPr>
      </w:pPr>
      <w:r>
        <w:rPr>
          <w:rFonts w:ascii="Times New Roman" w:hAnsi="Times New Roman" w:cs="Times New Roman"/>
          <w:b/>
          <w:bCs/>
        </w:rPr>
        <w:t xml:space="preserve">Research paper </w:t>
      </w:r>
      <w:r>
        <w:rPr>
          <w:rFonts w:ascii="Times New Roman" w:hAnsi="Times New Roman" w:cs="Times New Roman"/>
        </w:rPr>
        <w:t xml:space="preserve">(20%; </w:t>
      </w:r>
      <w:r>
        <w:rPr>
          <w:rFonts w:ascii="Times New Roman" w:hAnsi="Times New Roman" w:cs="Times New Roman"/>
          <w:i/>
          <w:iCs/>
        </w:rPr>
        <w:t>final draft due Dec. 4</w:t>
      </w:r>
      <w:r>
        <w:rPr>
          <w:rFonts w:ascii="Times New Roman" w:hAnsi="Times New Roman" w:cs="Times New Roman"/>
        </w:rPr>
        <w:t>)</w:t>
      </w:r>
      <w:r>
        <w:rPr>
          <w:rFonts w:ascii="Times New Roman" w:hAnsi="Times New Roman" w:cs="Times New Roman"/>
          <w:b/>
          <w:bCs/>
        </w:rPr>
        <w:t xml:space="preserve">: </w:t>
      </w:r>
      <w:r>
        <w:rPr>
          <w:rFonts w:ascii="Times New Roman" w:hAnsi="Times New Roman" w:cs="Times New Roman"/>
        </w:rPr>
        <w:t xml:space="preserve">You will write one short paper (4 – 6 pages) on an ethical issue covered between Weeks 4 and 11 (the addiction unit through the disability unit). A rubric will be provided later in the semester. This paper will consist of three stages: (1) a proposal/introductory </w:t>
      </w:r>
      <w:r>
        <w:rPr>
          <w:rFonts w:ascii="Times New Roman" w:hAnsi="Times New Roman" w:cs="Times New Roman"/>
        </w:rPr>
        <w:lastRenderedPageBreak/>
        <w:t>paragraph (due Nov. 6), (2) a rough draft (due Nov. 20), and (3) a final draft (due Dec. 4). Each stage must be submitted to me for comments.</w:t>
      </w:r>
    </w:p>
    <w:p w14:paraId="6025ABD4" w14:textId="77777777" w:rsidR="001C2B3F" w:rsidRPr="00D329EE" w:rsidRDefault="001C2B3F" w:rsidP="001C2B3F">
      <w:pPr>
        <w:pStyle w:val="ListParagraph"/>
        <w:ind w:left="360"/>
        <w:jc w:val="both"/>
        <w:rPr>
          <w:rFonts w:ascii="Times New Roman" w:hAnsi="Times New Roman" w:cs="Times New Roman"/>
        </w:rPr>
      </w:pPr>
    </w:p>
    <w:p w14:paraId="203DBD55" w14:textId="77777777" w:rsidR="002627AE" w:rsidRDefault="00000000">
      <w:pPr>
        <w:pStyle w:val="ListParagraph"/>
        <w:numPr>
          <w:ilvl w:val="0"/>
          <w:numId w:val="2"/>
        </w:numPr>
        <w:spacing w:line="240" w:lineRule="auto"/>
        <w:ind w:left="360"/>
        <w:jc w:val="both"/>
        <w:rPr>
          <w:rFonts w:ascii="Times New Roman" w:hAnsi="Times New Roman" w:cs="Times New Roman"/>
        </w:rPr>
      </w:pPr>
      <w:r>
        <w:rPr>
          <w:rFonts w:ascii="Times New Roman" w:eastAsia="Times New Roman" w:hAnsi="Times New Roman" w:cs="Times New Roman"/>
          <w:b/>
          <w:bCs/>
        </w:rPr>
        <w:t>Final exam</w:t>
      </w:r>
      <w:r>
        <w:rPr>
          <w:rFonts w:ascii="Times New Roman" w:eastAsia="Times New Roman" w:hAnsi="Times New Roman" w:cs="Times New Roman"/>
        </w:rPr>
        <w:t xml:space="preserve"> (30%): There will be one cumulative final at the end of the term. A study guide will be made available before the end of the semester. The final exam date and time will be announced by the registrar.</w:t>
      </w:r>
    </w:p>
    <w:p w14:paraId="7B952D22" w14:textId="77777777" w:rsidR="00AD4B5A" w:rsidRDefault="00AD4B5A" w:rsidP="001C2B3F">
      <w:pPr>
        <w:pStyle w:val="ListParagraph"/>
        <w:jc w:val="center"/>
        <w:rPr>
          <w:rFonts w:ascii="Times New Roman" w:hAnsi="Times New Roman" w:cs="Times New Roman"/>
          <w:i/>
          <w:iCs/>
        </w:rPr>
      </w:pPr>
    </w:p>
    <w:p w14:paraId="24F16797" w14:textId="77777777" w:rsidR="00AD4B5A" w:rsidRDefault="00AD4B5A" w:rsidP="001C2B3F">
      <w:pPr>
        <w:pStyle w:val="ListParagraph"/>
        <w:jc w:val="center"/>
        <w:rPr>
          <w:rFonts w:ascii="Times New Roman" w:hAnsi="Times New Roman" w:cs="Times New Roman"/>
          <w:i/>
          <w:iCs/>
        </w:rPr>
      </w:pPr>
    </w:p>
    <w:p w14:paraId="5C1FD775" w14:textId="77777777" w:rsidR="00AD4B5A" w:rsidRDefault="00AD4B5A" w:rsidP="001C2B3F">
      <w:pPr>
        <w:pStyle w:val="ListParagraph"/>
        <w:jc w:val="center"/>
        <w:rPr>
          <w:rFonts w:ascii="Times New Roman" w:hAnsi="Times New Roman" w:cs="Times New Roman"/>
          <w:i/>
          <w:iCs/>
        </w:rPr>
      </w:pPr>
    </w:p>
    <w:p w14:paraId="4C9987E8" w14:textId="77777777" w:rsidR="00AD4B5A" w:rsidRDefault="00AD4B5A" w:rsidP="001C2B3F">
      <w:pPr>
        <w:pStyle w:val="ListParagraph"/>
        <w:jc w:val="center"/>
        <w:rPr>
          <w:rFonts w:ascii="Times New Roman" w:hAnsi="Times New Roman" w:cs="Times New Roman"/>
          <w:i/>
          <w:iCs/>
        </w:rPr>
      </w:pPr>
    </w:p>
    <w:p w14:paraId="38FFB868" w14:textId="77777777" w:rsidR="00AD4B5A" w:rsidRDefault="00AD4B5A" w:rsidP="001C2B3F">
      <w:pPr>
        <w:pStyle w:val="ListParagraph"/>
        <w:jc w:val="center"/>
        <w:rPr>
          <w:rFonts w:ascii="Times New Roman" w:hAnsi="Times New Roman" w:cs="Times New Roman"/>
          <w:i/>
          <w:iCs/>
        </w:rPr>
      </w:pPr>
    </w:p>
    <w:p w14:paraId="4552418D" w14:textId="77777777" w:rsidR="00AD4B5A" w:rsidRDefault="00AD4B5A" w:rsidP="001C2B3F">
      <w:pPr>
        <w:pStyle w:val="ListParagraph"/>
        <w:jc w:val="center"/>
        <w:rPr>
          <w:rFonts w:ascii="Times New Roman" w:hAnsi="Times New Roman" w:cs="Times New Roman"/>
          <w:i/>
          <w:iCs/>
        </w:rPr>
      </w:pPr>
    </w:p>
    <w:p w14:paraId="7FA99AE8" w14:textId="77777777" w:rsidR="001C2B3F" w:rsidRDefault="001C2B3F" w:rsidP="001C2B3F">
      <w:pPr>
        <w:pStyle w:val="ListParagraph"/>
        <w:jc w:val="center"/>
        <w:rPr>
          <w:rFonts w:ascii="Times New Roman" w:eastAsia="Times New Roman" w:hAnsi="Times New Roman" w:cs="Times New Roman"/>
        </w:rPr>
      </w:pPr>
      <w:r>
        <w:rPr>
          <w:rFonts w:ascii="Times New Roman" w:hAnsi="Times New Roman" w:cs="Times New Roman"/>
          <w:i/>
          <w:iCs/>
        </w:rPr>
        <w:t xml:space="preserve">Schedule </w:t>
      </w:r>
      <w:r>
        <w:rPr>
          <w:rFonts w:ascii="Times New Roman" w:hAnsi="Times New Roman" w:cs="Times New Roman"/>
        </w:rPr>
        <w:t>(</w:t>
      </w:r>
      <w:r>
        <w:rPr>
          <w:rFonts w:ascii="Times New Roman" w:eastAsia="Times New Roman" w:hAnsi="Times New Roman" w:cs="Times New Roman"/>
        </w:rPr>
        <w:t>Changes will be announced in class and through Canvas)</w:t>
      </w:r>
    </w:p>
    <w:p w14:paraId="28A8AA92" w14:textId="77777777" w:rsidR="001C2B3F" w:rsidRPr="00303102" w:rsidRDefault="001C2B3F" w:rsidP="001C2B3F">
      <w:pPr>
        <w:rPr>
          <w:rFonts w:ascii="Times New Roman" w:eastAsia="Times New Roman" w:hAnsi="Times New Roman" w:cs="Times New Roman"/>
        </w:rPr>
      </w:pPr>
    </w:p>
    <w:tbl>
      <w:tblPr>
        <w:tblW w:w="11020" w:type="dxa"/>
        <w:tblInd w:w="-1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90"/>
        <w:gridCol w:w="2780"/>
        <w:gridCol w:w="3150"/>
        <w:gridCol w:w="3100"/>
      </w:tblGrid>
      <w:tr w:rsidR="002627AE" w14:paraId="745467AD" w14:textId="77777777">
        <w:tc>
          <w:tcPr>
            <w:tcW w:w="1990" w:type="dxa"/>
            <w:tcMar>
              <w:top w:w="100" w:type="dxa"/>
              <w:left w:w="100" w:type="dxa"/>
              <w:bottom w:w="100" w:type="dxa"/>
              <w:right w:w="100" w:type="dxa"/>
            </w:tcMar>
          </w:tcPr>
          <w:p w14:paraId="69A47948"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Week</w:t>
            </w:r>
          </w:p>
        </w:tc>
        <w:tc>
          <w:tcPr>
            <w:tcW w:w="2780" w:type="dxa"/>
            <w:tcMar>
              <w:top w:w="100" w:type="dxa"/>
              <w:left w:w="100" w:type="dxa"/>
              <w:bottom w:w="100" w:type="dxa"/>
              <w:right w:w="100" w:type="dxa"/>
            </w:tcMar>
          </w:tcPr>
          <w:p w14:paraId="65CD9B9E"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Monday</w:t>
            </w:r>
          </w:p>
        </w:tc>
        <w:tc>
          <w:tcPr>
            <w:tcW w:w="3150" w:type="dxa"/>
            <w:tcMar>
              <w:top w:w="100" w:type="dxa"/>
              <w:left w:w="100" w:type="dxa"/>
              <w:bottom w:w="100" w:type="dxa"/>
              <w:right w:w="100" w:type="dxa"/>
            </w:tcMar>
          </w:tcPr>
          <w:p w14:paraId="1BD7DBC9"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Wednesday</w:t>
            </w:r>
          </w:p>
        </w:tc>
        <w:tc>
          <w:tcPr>
            <w:tcW w:w="3100" w:type="dxa"/>
            <w:tcMar>
              <w:top w:w="100" w:type="dxa"/>
              <w:left w:w="100" w:type="dxa"/>
              <w:bottom w:w="100" w:type="dxa"/>
              <w:right w:w="100" w:type="dxa"/>
            </w:tcMar>
          </w:tcPr>
          <w:p w14:paraId="43176A43"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Friday</w:t>
            </w:r>
          </w:p>
        </w:tc>
      </w:tr>
      <w:tr w:rsidR="002627AE" w14:paraId="6E2B7C58" w14:textId="77777777">
        <w:tc>
          <w:tcPr>
            <w:tcW w:w="1990" w:type="dxa"/>
            <w:tcMar>
              <w:top w:w="100" w:type="dxa"/>
              <w:left w:w="100" w:type="dxa"/>
              <w:bottom w:w="100" w:type="dxa"/>
              <w:right w:w="100" w:type="dxa"/>
            </w:tcMar>
          </w:tcPr>
          <w:p w14:paraId="651A41CB"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Aug. 31 – Sep. 4</w:t>
            </w:r>
          </w:p>
          <w:p w14:paraId="3B5B02CE"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780" w:type="dxa"/>
            <w:tcMar>
              <w:top w:w="100" w:type="dxa"/>
              <w:left w:w="100" w:type="dxa"/>
              <w:bottom w:w="100" w:type="dxa"/>
              <w:right w:w="100" w:type="dxa"/>
            </w:tcMar>
          </w:tcPr>
          <w:p w14:paraId="2D876E8E"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What is neuroethics?</w:t>
            </w:r>
          </w:p>
          <w:p w14:paraId="3FA90FA2"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May, Neuroethics, ch. 1, pp. 3–14</w:t>
            </w:r>
          </w:p>
        </w:tc>
        <w:tc>
          <w:tcPr>
            <w:tcW w:w="3150" w:type="dxa"/>
            <w:tcMar>
              <w:top w:w="100" w:type="dxa"/>
              <w:left w:w="100" w:type="dxa"/>
              <w:bottom w:w="100" w:type="dxa"/>
              <w:right w:w="100" w:type="dxa"/>
            </w:tcMar>
          </w:tcPr>
          <w:p w14:paraId="53C98FB8"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The geography: touring the brain</w:t>
            </w:r>
          </w:p>
          <w:p w14:paraId="769B65D3"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PCN Appendix, pp. 552–561</w:t>
            </w:r>
          </w:p>
          <w:p w14:paraId="429E43A4"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May, Appendix A.2, pp. 23–31 (Brain Basics)</w:t>
            </w:r>
          </w:p>
        </w:tc>
        <w:tc>
          <w:tcPr>
            <w:tcW w:w="3100" w:type="dxa"/>
            <w:tcMar>
              <w:top w:w="100" w:type="dxa"/>
              <w:left w:w="100" w:type="dxa"/>
              <w:bottom w:w="100" w:type="dxa"/>
              <w:right w:w="100" w:type="dxa"/>
            </w:tcMar>
          </w:tcPr>
          <w:p w14:paraId="4C95CB4F"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The currency: neurons and neuromodulators</w:t>
            </w:r>
          </w:p>
          <w:p w14:paraId="29A582A6"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Neuro6 ch. 6, p. 113 + pp. 131–135 (Biogenic Amines)</w:t>
            </w:r>
          </w:p>
          <w:p w14:paraId="4D91D1D3"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Optional: Neuro6 ch. 5, pp. 88–91</w:t>
            </w:r>
          </w:p>
        </w:tc>
      </w:tr>
      <w:tr w:rsidR="002627AE" w14:paraId="38B346F6" w14:textId="77777777">
        <w:tc>
          <w:tcPr>
            <w:tcW w:w="1990" w:type="dxa"/>
            <w:tcMar>
              <w:top w:w="100" w:type="dxa"/>
              <w:left w:w="100" w:type="dxa"/>
              <w:bottom w:w="100" w:type="dxa"/>
              <w:right w:w="100" w:type="dxa"/>
            </w:tcMar>
          </w:tcPr>
          <w:p w14:paraId="154E1D01"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Sep. 7 – 11</w:t>
            </w:r>
          </w:p>
          <w:p w14:paraId="70BB6B87"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780" w:type="dxa"/>
            <w:tcMar>
              <w:top w:w="100" w:type="dxa"/>
              <w:left w:w="100" w:type="dxa"/>
              <w:bottom w:w="100" w:type="dxa"/>
              <w:right w:w="100" w:type="dxa"/>
            </w:tcMar>
          </w:tcPr>
          <w:p w14:paraId="611914C6"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LABOR DAY</w:t>
            </w:r>
          </w:p>
        </w:tc>
        <w:tc>
          <w:tcPr>
            <w:tcW w:w="3150" w:type="dxa"/>
            <w:tcMar>
              <w:top w:w="100" w:type="dxa"/>
              <w:left w:w="100" w:type="dxa"/>
              <w:bottom w:w="100" w:type="dxa"/>
              <w:right w:w="100" w:type="dxa"/>
            </w:tcMar>
          </w:tcPr>
          <w:p w14:paraId="1A3EDE01"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The instruments: measuring minds</w:t>
            </w:r>
          </w:p>
          <w:p w14:paraId="78D77951"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PCN ch. 2, pp. 38–48</w:t>
            </w:r>
          </w:p>
        </w:tc>
        <w:tc>
          <w:tcPr>
            <w:tcW w:w="3100" w:type="dxa"/>
            <w:tcMar>
              <w:top w:w="100" w:type="dxa"/>
              <w:left w:w="100" w:type="dxa"/>
              <w:bottom w:w="100" w:type="dxa"/>
              <w:right w:w="100" w:type="dxa"/>
            </w:tcMar>
          </w:tcPr>
          <w:p w14:paraId="7D561806"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The field + the ethical toolkit</w:t>
            </w:r>
          </w:p>
          <w:p w14:paraId="6AE4AB44"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Farah, “Neuroscience and neuroethics in the 21st century” (OHN), pp. 761–777</w:t>
            </w:r>
          </w:p>
          <w:p w14:paraId="618B511A"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May, Appendix A.1, pp. 15–22 (Philosophy Primer)</w:t>
            </w:r>
          </w:p>
        </w:tc>
      </w:tr>
      <w:tr w:rsidR="002627AE" w14:paraId="1C71367E" w14:textId="77777777">
        <w:tc>
          <w:tcPr>
            <w:tcW w:w="1990" w:type="dxa"/>
            <w:tcMar>
              <w:top w:w="100" w:type="dxa"/>
              <w:left w:w="100" w:type="dxa"/>
              <w:bottom w:w="100" w:type="dxa"/>
              <w:right w:w="100" w:type="dxa"/>
            </w:tcMar>
          </w:tcPr>
          <w:p w14:paraId="50B61027"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Sep. 14 – 18</w:t>
            </w:r>
          </w:p>
          <w:p w14:paraId="73967843"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2780" w:type="dxa"/>
            <w:tcMar>
              <w:top w:w="100" w:type="dxa"/>
              <w:left w:w="100" w:type="dxa"/>
              <w:bottom w:w="100" w:type="dxa"/>
              <w:right w:w="100" w:type="dxa"/>
            </w:tcMar>
          </w:tcPr>
          <w:p w14:paraId="6E90A935"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Free will, determinism, bypassing</w:t>
            </w:r>
          </w:p>
          <w:p w14:paraId="3EB854A9"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May, ch. 2, pp. 35–61</w:t>
            </w:r>
          </w:p>
          <w:p w14:paraId="40949B5B"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PCN ch. 5, pp. 144–149</w:t>
            </w:r>
          </w:p>
          <w:p w14:paraId="2018C23C"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Optional: Seth, ch. 11 (Degrees of Freedom)</w:t>
            </w:r>
          </w:p>
        </w:tc>
        <w:tc>
          <w:tcPr>
            <w:tcW w:w="3150" w:type="dxa"/>
            <w:tcMar>
              <w:top w:w="100" w:type="dxa"/>
              <w:left w:w="100" w:type="dxa"/>
              <w:bottom w:w="100" w:type="dxa"/>
              <w:right w:w="100" w:type="dxa"/>
            </w:tcMar>
          </w:tcPr>
          <w:p w14:paraId="70E038E8"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The moral brain</w:t>
            </w:r>
          </w:p>
          <w:p w14:paraId="64F41690"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May, ch. 6, pp. 149–173</w:t>
            </w:r>
          </w:p>
          <w:p w14:paraId="03127CF1"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Greene et al., “An fMRI investigation of emotional engagement in moral judgment”</w:t>
            </w:r>
          </w:p>
          <w:p w14:paraId="774FC8DE"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PCN ch. 10, pp. 340–345</w:t>
            </w:r>
          </w:p>
          <w:p w14:paraId="4AD9EA01"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Optional: Crockett, “Models of morality”</w:t>
            </w:r>
          </w:p>
        </w:tc>
        <w:tc>
          <w:tcPr>
            <w:tcW w:w="3100" w:type="dxa"/>
            <w:tcMar>
              <w:top w:w="100" w:type="dxa"/>
              <w:left w:w="100" w:type="dxa"/>
              <w:bottom w:w="100" w:type="dxa"/>
              <w:right w:w="100" w:type="dxa"/>
            </w:tcMar>
          </w:tcPr>
          <w:p w14:paraId="24F314C9"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OUT</w:t>
            </w:r>
          </w:p>
        </w:tc>
      </w:tr>
      <w:tr w:rsidR="002627AE" w14:paraId="007F0614" w14:textId="77777777">
        <w:tc>
          <w:tcPr>
            <w:tcW w:w="1990" w:type="dxa"/>
            <w:tcMar>
              <w:top w:w="100" w:type="dxa"/>
              <w:left w:w="100" w:type="dxa"/>
              <w:bottom w:w="100" w:type="dxa"/>
              <w:right w:w="100" w:type="dxa"/>
            </w:tcMar>
          </w:tcPr>
          <w:p w14:paraId="3E444096"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Sep. 21 – 25</w:t>
            </w:r>
          </w:p>
          <w:p w14:paraId="5B6E98E7"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2780" w:type="dxa"/>
            <w:tcMar>
              <w:top w:w="100" w:type="dxa"/>
              <w:left w:w="100" w:type="dxa"/>
              <w:bottom w:w="100" w:type="dxa"/>
              <w:right w:w="100" w:type="dxa"/>
            </w:tcMar>
          </w:tcPr>
          <w:p w14:paraId="3CECAAAA"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Addiction: the received view</w:t>
            </w:r>
          </w:p>
          <w:p w14:paraId="5E5BFFF1"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May, ch. 5, pp. 119–144</w:t>
            </w:r>
          </w:p>
          <w:p w14:paraId="0A76A5A2"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PCN ch. 14, pp. 470–476</w:t>
            </w:r>
          </w:p>
        </w:tc>
        <w:tc>
          <w:tcPr>
            <w:tcW w:w="3150" w:type="dxa"/>
            <w:tcMar>
              <w:top w:w="100" w:type="dxa"/>
              <w:left w:w="100" w:type="dxa"/>
              <w:bottom w:w="100" w:type="dxa"/>
              <w:right w:w="100" w:type="dxa"/>
            </w:tcMar>
          </w:tcPr>
          <w:p w14:paraId="04BCEC9B"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Pickard I: alone in a cage with cocaine</w:t>
            </w:r>
          </w:p>
          <w:p w14:paraId="5ECDA4FD"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Pickard, Introduction (pp. 1–20) and ch. 6 (pp. 81–92)</w:t>
            </w:r>
          </w:p>
          <w:p w14:paraId="123F5DF9"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Optional: Pickard, ch. 1 (pp. 23–35)</w:t>
            </w:r>
          </w:p>
        </w:tc>
        <w:tc>
          <w:tcPr>
            <w:tcW w:w="3100" w:type="dxa"/>
            <w:tcMar>
              <w:top w:w="100" w:type="dxa"/>
              <w:left w:w="100" w:type="dxa"/>
              <w:bottom w:w="100" w:type="dxa"/>
              <w:right w:w="100" w:type="dxa"/>
            </w:tcMar>
          </w:tcPr>
          <w:p w14:paraId="2404C7B1"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Pickard II: responsibility without blame</w:t>
            </w:r>
          </w:p>
          <w:p w14:paraId="666D878C"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Pickard, ch. 4 (pp. 48–61) and ch. 19 (pp. 251–269)</w:t>
            </w:r>
          </w:p>
          <w:p w14:paraId="12F5F32F"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Optional: Pickard, chs. 16–18 (pp. 217–250)</w:t>
            </w:r>
          </w:p>
        </w:tc>
      </w:tr>
      <w:tr w:rsidR="002627AE" w14:paraId="32556DDF" w14:textId="77777777">
        <w:tc>
          <w:tcPr>
            <w:tcW w:w="1990" w:type="dxa"/>
            <w:tcMar>
              <w:top w:w="100" w:type="dxa"/>
              <w:left w:w="100" w:type="dxa"/>
              <w:bottom w:w="100" w:type="dxa"/>
              <w:right w:w="100" w:type="dxa"/>
            </w:tcMar>
          </w:tcPr>
          <w:p w14:paraId="2418E2FE"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Sep. 28 – Oct. 2</w:t>
            </w:r>
          </w:p>
          <w:p w14:paraId="69C8E6D0"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(5)</w:t>
            </w:r>
          </w:p>
        </w:tc>
        <w:tc>
          <w:tcPr>
            <w:tcW w:w="2780" w:type="dxa"/>
            <w:tcMar>
              <w:top w:w="100" w:type="dxa"/>
              <w:left w:w="100" w:type="dxa"/>
              <w:bottom w:w="100" w:type="dxa"/>
              <w:right w:w="100" w:type="dxa"/>
            </w:tcMar>
          </w:tcPr>
          <w:p w14:paraId="5B4BBC46"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lastRenderedPageBreak/>
              <w:t xml:space="preserve">The brain-disease model on </w:t>
            </w:r>
            <w:r>
              <w:rPr>
                <w:rFonts w:ascii="Times New Roman" w:eastAsia="Times New Roman" w:hAnsi="Times New Roman" w:cs="Times New Roman"/>
                <w:i/>
                <w:iCs/>
              </w:rPr>
              <w:lastRenderedPageBreak/>
              <w:t>trial</w:t>
            </w:r>
          </w:p>
          <w:p w14:paraId="0382B196"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Heyman, ch. 23 in Evaluating the Brain Disease Model of Addiction (reserve)</w:t>
            </w:r>
          </w:p>
          <w:p w14:paraId="47E36709"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Sripada, “The case for value”</w:t>
            </w:r>
          </w:p>
          <w:p w14:paraId="79F4B02A"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Neuro6 ch. 31, pp. 718–721</w:t>
            </w:r>
          </w:p>
          <w:p w14:paraId="3B172AAD"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Optional: Pickard, ch. 8 (pp. 101–111)</w:t>
            </w:r>
          </w:p>
        </w:tc>
        <w:tc>
          <w:tcPr>
            <w:tcW w:w="3150" w:type="dxa"/>
            <w:tcMar>
              <w:top w:w="100" w:type="dxa"/>
              <w:left w:w="100" w:type="dxa"/>
              <w:bottom w:w="100" w:type="dxa"/>
              <w:right w:w="100" w:type="dxa"/>
            </w:tcMar>
          </w:tcPr>
          <w:p w14:paraId="02CD0C96"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lastRenderedPageBreak/>
              <w:t xml:space="preserve">Psychedelic therapy: the </w:t>
            </w:r>
            <w:r>
              <w:rPr>
                <w:rFonts w:ascii="Times New Roman" w:eastAsia="Times New Roman" w:hAnsi="Times New Roman" w:cs="Times New Roman"/>
                <w:i/>
                <w:iCs/>
              </w:rPr>
              <w:lastRenderedPageBreak/>
              <w:t>evidence</w:t>
            </w:r>
          </w:p>
          <w:p w14:paraId="0F6892E3"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Letheby, ch. 2, §§2.1–2.4 (pp. 8–27)</w:t>
            </w:r>
          </w:p>
          <w:p w14:paraId="39D7D161"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Letheby, ch. 3, §§3.1–3.3 (pp. 39–53)</w:t>
            </w:r>
          </w:p>
        </w:tc>
        <w:tc>
          <w:tcPr>
            <w:tcW w:w="3100" w:type="dxa"/>
            <w:tcMar>
              <w:top w:w="100" w:type="dxa"/>
              <w:left w:w="100" w:type="dxa"/>
              <w:bottom w:w="100" w:type="dxa"/>
              <w:right w:w="100" w:type="dxa"/>
            </w:tcMar>
          </w:tcPr>
          <w:p w14:paraId="27884896"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OUT</w:t>
            </w:r>
          </w:p>
        </w:tc>
      </w:tr>
      <w:tr w:rsidR="002627AE" w14:paraId="7F089BBE" w14:textId="77777777">
        <w:tc>
          <w:tcPr>
            <w:tcW w:w="1990" w:type="dxa"/>
            <w:tcMar>
              <w:top w:w="100" w:type="dxa"/>
              <w:left w:w="100" w:type="dxa"/>
              <w:bottom w:w="100" w:type="dxa"/>
              <w:right w:w="100" w:type="dxa"/>
            </w:tcMar>
          </w:tcPr>
          <w:p w14:paraId="1264D384"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Oct. 5 – 9</w:t>
            </w:r>
          </w:p>
          <w:p w14:paraId="411317B7"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2780" w:type="dxa"/>
            <w:tcMar>
              <w:top w:w="100" w:type="dxa"/>
              <w:left w:w="100" w:type="dxa"/>
              <w:bottom w:w="100" w:type="dxa"/>
              <w:right w:w="100" w:type="dxa"/>
            </w:tcMar>
          </w:tcPr>
          <w:p w14:paraId="14819A21"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The comforting delusion objection</w:t>
            </w:r>
          </w:p>
          <w:p w14:paraId="4B02A4E0"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Letheby, ch. 2, §§2.5–2.6 (pp. 27–38)</w:t>
            </w:r>
          </w:p>
          <w:p w14:paraId="3F7C0AC1"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Letheby, ch. 8, §§8.1–8.3 (pp. 160–172) + §8.8 (pp. 194–195)</w:t>
            </w:r>
          </w:p>
          <w:p w14:paraId="14B55EBD"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Neuro6 ch. 8, pp. 176–188</w:t>
            </w:r>
          </w:p>
          <w:p w14:paraId="0D003D39"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Optional: Letheby, ch. 6 (pp. 110–123)</w:t>
            </w:r>
          </w:p>
        </w:tc>
        <w:tc>
          <w:tcPr>
            <w:tcW w:w="3150" w:type="dxa"/>
            <w:tcMar>
              <w:top w:w="100" w:type="dxa"/>
              <w:left w:w="100" w:type="dxa"/>
              <w:bottom w:w="100" w:type="dxa"/>
              <w:right w:w="100" w:type="dxa"/>
            </w:tcMar>
          </w:tcPr>
          <w:p w14:paraId="5D396EE6"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Unbinding the self</w:t>
            </w:r>
          </w:p>
          <w:p w14:paraId="7F605A6C"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Letheby, ch. 7, §§7.1–7.5 (pp. 124–143) + §7.7 (pp. 146–152)</w:t>
            </w:r>
          </w:p>
          <w:p w14:paraId="2E79DE84"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Letheby, ch. 9 (pp. 196–204)</w:t>
            </w:r>
          </w:p>
        </w:tc>
        <w:tc>
          <w:tcPr>
            <w:tcW w:w="3100" w:type="dxa"/>
            <w:tcMar>
              <w:top w:w="100" w:type="dxa"/>
              <w:left w:w="100" w:type="dxa"/>
              <w:bottom w:w="100" w:type="dxa"/>
              <w:right w:w="100" w:type="dxa"/>
            </w:tcMar>
          </w:tcPr>
          <w:p w14:paraId="145A3C68"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Midterm review + paper launch</w:t>
            </w:r>
          </w:p>
          <w:p w14:paraId="64CC1C13"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Study guide and paper prompt distributed</w:t>
            </w:r>
          </w:p>
          <w:p w14:paraId="055DEAE2"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b/>
                <w:bCs/>
                <w:i/>
                <w:iCs/>
              </w:rPr>
              <w:t>SURVEY RESPONSES DUE</w:t>
            </w:r>
          </w:p>
        </w:tc>
      </w:tr>
      <w:tr w:rsidR="002627AE" w14:paraId="2201E450" w14:textId="77777777">
        <w:tc>
          <w:tcPr>
            <w:tcW w:w="1990" w:type="dxa"/>
            <w:tcMar>
              <w:top w:w="100" w:type="dxa"/>
              <w:left w:w="100" w:type="dxa"/>
              <w:bottom w:w="100" w:type="dxa"/>
              <w:right w:w="100" w:type="dxa"/>
            </w:tcMar>
          </w:tcPr>
          <w:p w14:paraId="084BB858"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Oct. 12 – 16</w:t>
            </w:r>
          </w:p>
          <w:p w14:paraId="5BEBC63C"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2780" w:type="dxa"/>
            <w:tcMar>
              <w:top w:w="100" w:type="dxa"/>
              <w:left w:w="100" w:type="dxa"/>
              <w:bottom w:w="100" w:type="dxa"/>
              <w:right w:w="100" w:type="dxa"/>
            </w:tcMar>
          </w:tcPr>
          <w:p w14:paraId="7F20C376"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COLUMBUS DAY (no class)</w:t>
            </w:r>
          </w:p>
          <w:p w14:paraId="26F773A4"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b/>
                <w:bCs/>
              </w:rPr>
              <w:t>MIDTERM EXAM — Tue Oct. 13 (Monday schedule)</w:t>
            </w:r>
          </w:p>
        </w:tc>
        <w:tc>
          <w:tcPr>
            <w:tcW w:w="3150" w:type="dxa"/>
            <w:tcMar>
              <w:top w:w="100" w:type="dxa"/>
              <w:left w:w="100" w:type="dxa"/>
              <w:bottom w:w="100" w:type="dxa"/>
              <w:right w:w="100" w:type="dxa"/>
            </w:tcMar>
          </w:tcPr>
          <w:p w14:paraId="7E1C1219"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The real problem of consciousness</w:t>
            </w:r>
          </w:p>
          <w:p w14:paraId="15EF39C7"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Seth, Being You, Prologue + chs. 1–2</w:t>
            </w:r>
          </w:p>
          <w:p w14:paraId="158841F7"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Neuro6 ch. 28, pp. 660–664</w:t>
            </w:r>
          </w:p>
          <w:p w14:paraId="27575CD3"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Optional: Seth, ch. 3 (Phi)</w:t>
            </w:r>
          </w:p>
        </w:tc>
        <w:tc>
          <w:tcPr>
            <w:tcW w:w="3100" w:type="dxa"/>
            <w:tcMar>
              <w:top w:w="100" w:type="dxa"/>
              <w:left w:w="100" w:type="dxa"/>
              <w:bottom w:w="100" w:type="dxa"/>
              <w:right w:w="100" w:type="dxa"/>
            </w:tcMar>
          </w:tcPr>
          <w:p w14:paraId="5D90D80D"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Perception as controlled hallucination†</w:t>
            </w:r>
          </w:p>
          <w:p w14:paraId="18BD5CEB"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Seth, chs. 4–5</w:t>
            </w:r>
          </w:p>
          <w:p w14:paraId="33A24FF4"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PCN ch. 3, pp. 69–76 + Box 3C (p. 78)</w:t>
            </w:r>
          </w:p>
          <w:p w14:paraId="74E22066"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Optional: Seth, ch. 6</w:t>
            </w:r>
          </w:p>
        </w:tc>
      </w:tr>
      <w:tr w:rsidR="002627AE" w14:paraId="17FD2BD3" w14:textId="77777777">
        <w:tc>
          <w:tcPr>
            <w:tcW w:w="1990" w:type="dxa"/>
            <w:tcMar>
              <w:top w:w="100" w:type="dxa"/>
              <w:left w:w="100" w:type="dxa"/>
              <w:bottom w:w="100" w:type="dxa"/>
              <w:right w:w="100" w:type="dxa"/>
            </w:tcMar>
          </w:tcPr>
          <w:p w14:paraId="3DA0A342"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Oct. 19 – 23</w:t>
            </w:r>
          </w:p>
          <w:p w14:paraId="56A3FEC8"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2780" w:type="dxa"/>
            <w:tcMar>
              <w:top w:w="100" w:type="dxa"/>
              <w:left w:w="100" w:type="dxa"/>
              <w:bottom w:w="100" w:type="dxa"/>
              <w:right w:w="100" w:type="dxa"/>
            </w:tcMar>
          </w:tcPr>
          <w:p w14:paraId="6C721665"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The beast machine: embodied selfhood</w:t>
            </w:r>
          </w:p>
          <w:p w14:paraId="6FD2156D"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Seth, chs. 8–9</w:t>
            </w:r>
          </w:p>
          <w:p w14:paraId="698CF6A6"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PCN ch. 11, pp. 361–367; Neuro6 ch. 21, pp. 478–481</w:t>
            </w:r>
          </w:p>
          <w:p w14:paraId="5FDF287A"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Optional: Seth, ch. 10</w:t>
            </w:r>
          </w:p>
        </w:tc>
        <w:tc>
          <w:tcPr>
            <w:tcW w:w="3150" w:type="dxa"/>
            <w:tcMar>
              <w:top w:w="100" w:type="dxa"/>
              <w:left w:w="100" w:type="dxa"/>
              <w:bottom w:w="100" w:type="dxa"/>
              <w:right w:w="100" w:type="dxa"/>
            </w:tcMar>
          </w:tcPr>
          <w:p w14:paraId="0F20B8EC"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Animal consciousness</w:t>
            </w:r>
          </w:p>
          <w:p w14:paraId="7562FF16"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Andrews, “All animals are conscious”</w:t>
            </w:r>
          </w:p>
          <w:p w14:paraId="71E0E886"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PCN ch. 15, pp. 514–520</w:t>
            </w:r>
          </w:p>
        </w:tc>
        <w:tc>
          <w:tcPr>
            <w:tcW w:w="3100" w:type="dxa"/>
            <w:tcMar>
              <w:top w:w="100" w:type="dxa"/>
              <w:left w:w="100" w:type="dxa"/>
              <w:bottom w:w="100" w:type="dxa"/>
              <w:right w:w="100" w:type="dxa"/>
            </w:tcMar>
          </w:tcPr>
          <w:p w14:paraId="5C454E58"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Skeptics and default assumptions</w:t>
            </w:r>
          </w:p>
          <w:p w14:paraId="69DB74EF"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Carruthers, Human and Animal Minds, selection</w:t>
            </w:r>
          </w:p>
          <w:p w14:paraId="2321F567"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“Everything and nothing is conscious” (Front. Psychol.)</w:t>
            </w:r>
          </w:p>
          <w:p w14:paraId="68D03E91"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PCN ch. 15, pp. 529–535</w:t>
            </w:r>
          </w:p>
        </w:tc>
      </w:tr>
      <w:tr w:rsidR="002627AE" w14:paraId="4277876B" w14:textId="77777777">
        <w:tc>
          <w:tcPr>
            <w:tcW w:w="1990" w:type="dxa"/>
            <w:tcMar>
              <w:top w:w="100" w:type="dxa"/>
              <w:left w:w="100" w:type="dxa"/>
              <w:bottom w:w="100" w:type="dxa"/>
              <w:right w:w="100" w:type="dxa"/>
            </w:tcMar>
          </w:tcPr>
          <w:p w14:paraId="66870DC0"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Oct. 26 – 30</w:t>
            </w:r>
          </w:p>
          <w:p w14:paraId="66275F41"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2780" w:type="dxa"/>
            <w:tcMar>
              <w:top w:w="100" w:type="dxa"/>
              <w:left w:w="100" w:type="dxa"/>
              <w:bottom w:w="100" w:type="dxa"/>
              <w:right w:w="100" w:type="dxa"/>
            </w:tcMar>
          </w:tcPr>
          <w:p w14:paraId="0F7E3F05"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Machine consciousness</w:t>
            </w:r>
          </w:p>
          <w:p w14:paraId="794466B3"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Seth, chs. 12–13</w:t>
            </w:r>
          </w:p>
          <w:p w14:paraId="5024D098"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Dung, “Tests of Animal Consciousness are Tests of Machine Consciousness”</w:t>
            </w:r>
          </w:p>
        </w:tc>
        <w:tc>
          <w:tcPr>
            <w:tcW w:w="3150" w:type="dxa"/>
            <w:tcMar>
              <w:top w:w="100" w:type="dxa"/>
              <w:left w:w="100" w:type="dxa"/>
              <w:bottom w:w="100" w:type="dxa"/>
              <w:right w:w="100" w:type="dxa"/>
            </w:tcMar>
          </w:tcPr>
          <w:p w14:paraId="2F6342E4"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Inside the black box</w:t>
            </w:r>
          </w:p>
          <w:p w14:paraId="0E09FF58"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Bau et al., “Understanding the role of individual units in a deep neural network”</w:t>
            </w:r>
          </w:p>
          <w:p w14:paraId="309596A1"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“The Prospects of Artificial Consciousness”</w:t>
            </w:r>
          </w:p>
        </w:tc>
        <w:tc>
          <w:tcPr>
            <w:tcW w:w="3100" w:type="dxa"/>
            <w:tcMar>
              <w:top w:w="100" w:type="dxa"/>
              <w:left w:w="100" w:type="dxa"/>
              <w:bottom w:w="100" w:type="dxa"/>
              <w:right w:w="100" w:type="dxa"/>
            </w:tcMar>
          </w:tcPr>
          <w:p w14:paraId="75C07926"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Mental disorder</w:t>
            </w:r>
          </w:p>
          <w:p w14:paraId="73F49EC3"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May, ch. 4, pp. 93–116</w:t>
            </w:r>
          </w:p>
          <w:p w14:paraId="0A7B97B4"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PCN ch. 11, Intro Box (p. 360)</w:t>
            </w:r>
          </w:p>
        </w:tc>
      </w:tr>
      <w:tr w:rsidR="002627AE" w14:paraId="534D55C7" w14:textId="77777777">
        <w:tc>
          <w:tcPr>
            <w:tcW w:w="1990" w:type="dxa"/>
            <w:tcMar>
              <w:top w:w="100" w:type="dxa"/>
              <w:left w:w="100" w:type="dxa"/>
              <w:bottom w:w="100" w:type="dxa"/>
              <w:right w:w="100" w:type="dxa"/>
            </w:tcMar>
          </w:tcPr>
          <w:p w14:paraId="7E92E218"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Nov. 2 – 6</w:t>
            </w:r>
          </w:p>
          <w:p w14:paraId="63F8A4D5"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2780" w:type="dxa"/>
            <w:tcMar>
              <w:top w:w="100" w:type="dxa"/>
              <w:left w:w="100" w:type="dxa"/>
              <w:bottom w:w="100" w:type="dxa"/>
              <w:right w:w="100" w:type="dxa"/>
            </w:tcMar>
          </w:tcPr>
          <w:p w14:paraId="54D871CB"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OUT</w:t>
            </w:r>
          </w:p>
        </w:tc>
        <w:tc>
          <w:tcPr>
            <w:tcW w:w="3150" w:type="dxa"/>
            <w:tcMar>
              <w:top w:w="100" w:type="dxa"/>
              <w:left w:w="100" w:type="dxa"/>
              <w:bottom w:w="100" w:type="dxa"/>
              <w:right w:w="100" w:type="dxa"/>
            </w:tcMar>
          </w:tcPr>
          <w:p w14:paraId="0E92609A"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OUT</w:t>
            </w:r>
          </w:p>
        </w:tc>
        <w:tc>
          <w:tcPr>
            <w:tcW w:w="3100" w:type="dxa"/>
            <w:tcMar>
              <w:top w:w="100" w:type="dxa"/>
              <w:left w:w="100" w:type="dxa"/>
              <w:bottom w:w="100" w:type="dxa"/>
              <w:right w:w="100" w:type="dxa"/>
            </w:tcMar>
          </w:tcPr>
          <w:p w14:paraId="20909DFB"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The neurodiversity debate</w:t>
            </w:r>
          </w:p>
          <w:p w14:paraId="67097C33"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Shields &amp; Beversdorf, “A dilemma for neurodiversity”</w:t>
            </w:r>
          </w:p>
          <w:p w14:paraId="71EE9E72"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lastRenderedPageBreak/>
              <w:t>Swanson et al., “ADHD: Defining a spectrum disorder”</w:t>
            </w:r>
          </w:p>
          <w:p w14:paraId="6A416729"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Neuro6 ch. 25, pp. 571–580</w:t>
            </w:r>
          </w:p>
          <w:p w14:paraId="6A1F7160"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b/>
                <w:bCs/>
                <w:i/>
                <w:iCs/>
              </w:rPr>
              <w:t>PAPER PROPOSAL DUE</w:t>
            </w:r>
          </w:p>
        </w:tc>
      </w:tr>
      <w:tr w:rsidR="002627AE" w14:paraId="041A03E2" w14:textId="77777777">
        <w:tc>
          <w:tcPr>
            <w:tcW w:w="1990" w:type="dxa"/>
            <w:tcMar>
              <w:top w:w="100" w:type="dxa"/>
              <w:left w:w="100" w:type="dxa"/>
              <w:bottom w:w="100" w:type="dxa"/>
              <w:right w:w="100" w:type="dxa"/>
            </w:tcMar>
          </w:tcPr>
          <w:p w14:paraId="58E08E54"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Nov. 9 – 13</w:t>
            </w:r>
          </w:p>
          <w:p w14:paraId="39C120F4"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2780" w:type="dxa"/>
            <w:tcMar>
              <w:top w:w="100" w:type="dxa"/>
              <w:left w:w="100" w:type="dxa"/>
              <w:bottom w:w="100" w:type="dxa"/>
              <w:right w:w="100" w:type="dxa"/>
            </w:tcMar>
          </w:tcPr>
          <w:p w14:paraId="411A14D2"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Neurodiversity, identity, difference</w:t>
            </w:r>
          </w:p>
          <w:p w14:paraId="209D9083"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Arnaud &amp; Gibson, “Neurodiversity, identity, and hypostatic abstraction”</w:t>
            </w:r>
          </w:p>
          <w:p w14:paraId="57BDAB5C"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Neuro6 ch. 33, pp. 758–760</w:t>
            </w:r>
          </w:p>
        </w:tc>
        <w:tc>
          <w:tcPr>
            <w:tcW w:w="3150" w:type="dxa"/>
            <w:tcMar>
              <w:top w:w="100" w:type="dxa"/>
              <w:left w:w="100" w:type="dxa"/>
              <w:bottom w:w="100" w:type="dxa"/>
              <w:right w:w="100" w:type="dxa"/>
            </w:tcMar>
          </w:tcPr>
          <w:p w14:paraId="2263C3FD"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Intervening on agency</w:t>
            </w:r>
          </w:p>
          <w:p w14:paraId="68627309"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Roskies, “Agency and intervention”</w:t>
            </w:r>
          </w:p>
          <w:p w14:paraId="23E40DF7"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Schönau et al., “Mapping the dimensions of agency”</w:t>
            </w:r>
          </w:p>
          <w:p w14:paraId="7EF89392"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Neuro6 ch. 18, pp. 414–421 + p. 419 (DBS)</w:t>
            </w:r>
          </w:p>
        </w:tc>
        <w:tc>
          <w:tcPr>
            <w:tcW w:w="3100" w:type="dxa"/>
            <w:tcMar>
              <w:top w:w="100" w:type="dxa"/>
              <w:left w:w="100" w:type="dxa"/>
              <w:bottom w:w="100" w:type="dxa"/>
              <w:right w:w="100" w:type="dxa"/>
            </w:tcMar>
          </w:tcPr>
          <w:p w14:paraId="214235E3"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OUT</w:t>
            </w:r>
          </w:p>
        </w:tc>
      </w:tr>
      <w:tr w:rsidR="002627AE" w14:paraId="14FC4333" w14:textId="77777777">
        <w:tc>
          <w:tcPr>
            <w:tcW w:w="1990" w:type="dxa"/>
            <w:tcMar>
              <w:top w:w="100" w:type="dxa"/>
              <w:left w:w="100" w:type="dxa"/>
              <w:bottom w:w="100" w:type="dxa"/>
              <w:right w:w="100" w:type="dxa"/>
            </w:tcMar>
          </w:tcPr>
          <w:p w14:paraId="7513B457"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Nov. 16 – 20</w:t>
            </w:r>
          </w:p>
          <w:p w14:paraId="0FFA5323"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2780" w:type="dxa"/>
            <w:tcMar>
              <w:top w:w="100" w:type="dxa"/>
              <w:left w:w="100" w:type="dxa"/>
              <w:bottom w:w="100" w:type="dxa"/>
              <w:right w:w="100" w:type="dxa"/>
            </w:tcMar>
          </w:tcPr>
          <w:p w14:paraId="11541DFD"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Living with the device</w:t>
            </w:r>
          </w:p>
          <w:p w14:paraId="630F3632"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Corrales Tauil et al., “Living with deep brain stimulation for Parkinson’s Disease”</w:t>
            </w:r>
          </w:p>
        </w:tc>
        <w:tc>
          <w:tcPr>
            <w:tcW w:w="3150" w:type="dxa"/>
            <w:tcMar>
              <w:top w:w="100" w:type="dxa"/>
              <w:left w:w="100" w:type="dxa"/>
              <w:bottom w:w="100" w:type="dxa"/>
              <w:right w:w="100" w:type="dxa"/>
            </w:tcMar>
          </w:tcPr>
          <w:p w14:paraId="599EFA59"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Cosmetic neurology</w:t>
            </w:r>
          </w:p>
          <w:p w14:paraId="42F70E89"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Chatterjee, “Cosmetic neurology”</w:t>
            </w:r>
          </w:p>
          <w:p w14:paraId="1AF56E52"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May, ch. 7, pp. 175–199</w:t>
            </w:r>
          </w:p>
          <w:p w14:paraId="5495FD61"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PCN ch. 8, pp. 270–276</w:t>
            </w:r>
          </w:p>
        </w:tc>
        <w:tc>
          <w:tcPr>
            <w:tcW w:w="3100" w:type="dxa"/>
            <w:tcMar>
              <w:top w:w="100" w:type="dxa"/>
              <w:left w:w="100" w:type="dxa"/>
              <w:bottom w:w="100" w:type="dxa"/>
              <w:right w:w="100" w:type="dxa"/>
            </w:tcMar>
          </w:tcPr>
          <w:p w14:paraId="192657EB"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Cheapened achievement</w:t>
            </w:r>
          </w:p>
          <w:p w14:paraId="6F079880"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Gordon &amp; Dunn, “Pharmacological cognitive enhancement and cheapened achievement”</w:t>
            </w:r>
          </w:p>
          <w:p w14:paraId="1172674E"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Mann &amp; Sahakian, “Modafinil and the increasing lifestyle use of smart drugs”</w:t>
            </w:r>
          </w:p>
          <w:p w14:paraId="6CF1D81A"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b/>
                <w:bCs/>
                <w:i/>
                <w:iCs/>
              </w:rPr>
              <w:t>ROUGH DRAFT DUE</w:t>
            </w:r>
          </w:p>
        </w:tc>
      </w:tr>
      <w:tr w:rsidR="002627AE" w14:paraId="2062DB44" w14:textId="77777777">
        <w:tc>
          <w:tcPr>
            <w:tcW w:w="1990" w:type="dxa"/>
            <w:tcMar>
              <w:top w:w="100" w:type="dxa"/>
              <w:left w:w="100" w:type="dxa"/>
              <w:bottom w:w="100" w:type="dxa"/>
              <w:right w:w="100" w:type="dxa"/>
            </w:tcMar>
          </w:tcPr>
          <w:p w14:paraId="2CAAC8A1"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Nov. 23 – 29</w:t>
            </w:r>
          </w:p>
          <w:p w14:paraId="2EDF9ECF"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2780" w:type="dxa"/>
            <w:tcMar>
              <w:top w:w="100" w:type="dxa"/>
              <w:left w:w="100" w:type="dxa"/>
              <w:bottom w:w="100" w:type="dxa"/>
              <w:right w:w="100" w:type="dxa"/>
            </w:tcMar>
          </w:tcPr>
          <w:p w14:paraId="53DC2844"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Fairness, doping, access</w:t>
            </w:r>
          </w:p>
          <w:p w14:paraId="400193F7"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Petersen &amp; Lippert-Rasmussen, “Neuro-doping and fairness”</w:t>
            </w:r>
          </w:p>
          <w:p w14:paraId="17964DB7"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Minerva, “Should couch potatoes be encouraged to use tDCS?”</w:t>
            </w:r>
          </w:p>
        </w:tc>
        <w:tc>
          <w:tcPr>
            <w:tcW w:w="3150" w:type="dxa"/>
            <w:tcMar>
              <w:top w:w="100" w:type="dxa"/>
              <w:left w:w="100" w:type="dxa"/>
              <w:bottom w:w="100" w:type="dxa"/>
              <w:right w:w="100" w:type="dxa"/>
            </w:tcMar>
          </w:tcPr>
          <w:p w14:paraId="7C3016EE"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THANKSGIVING</w:t>
            </w:r>
          </w:p>
        </w:tc>
        <w:tc>
          <w:tcPr>
            <w:tcW w:w="3100" w:type="dxa"/>
            <w:tcMar>
              <w:top w:w="100" w:type="dxa"/>
              <w:left w:w="100" w:type="dxa"/>
              <w:bottom w:w="100" w:type="dxa"/>
              <w:right w:w="100" w:type="dxa"/>
            </w:tcMar>
          </w:tcPr>
          <w:p w14:paraId="5BECA42B"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THANKSGIVING</w:t>
            </w:r>
          </w:p>
        </w:tc>
      </w:tr>
      <w:tr w:rsidR="002627AE" w14:paraId="1C366971" w14:textId="77777777">
        <w:tc>
          <w:tcPr>
            <w:tcW w:w="1990" w:type="dxa"/>
            <w:tcMar>
              <w:top w:w="100" w:type="dxa"/>
              <w:left w:w="100" w:type="dxa"/>
              <w:bottom w:w="100" w:type="dxa"/>
              <w:right w:w="100" w:type="dxa"/>
            </w:tcMar>
          </w:tcPr>
          <w:p w14:paraId="0B828AC9"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Nov. 30 – Dec. 4</w:t>
            </w:r>
          </w:p>
          <w:p w14:paraId="2A12F4A6"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2780" w:type="dxa"/>
            <w:tcMar>
              <w:top w:w="100" w:type="dxa"/>
              <w:left w:w="100" w:type="dxa"/>
              <w:bottom w:w="100" w:type="dxa"/>
              <w:right w:w="100" w:type="dxa"/>
            </w:tcMar>
          </w:tcPr>
          <w:p w14:paraId="34403D8D"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Brain reading</w:t>
            </w:r>
          </w:p>
          <w:p w14:paraId="1F861B5F"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May, ch. 9, pp. 229–256</w:t>
            </w:r>
          </w:p>
          <w:p w14:paraId="76D4DA7C"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PCN ch. 2, pp. 42–45 + Box 14C (p. 498)</w:t>
            </w:r>
          </w:p>
        </w:tc>
        <w:tc>
          <w:tcPr>
            <w:tcW w:w="3150" w:type="dxa"/>
            <w:tcMar>
              <w:top w:w="100" w:type="dxa"/>
              <w:left w:w="100" w:type="dxa"/>
              <w:bottom w:w="100" w:type="dxa"/>
              <w:right w:w="100" w:type="dxa"/>
            </w:tcMar>
          </w:tcPr>
          <w:p w14:paraId="5ECEB21E"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Manipulation and mental privacy</w:t>
            </w:r>
          </w:p>
          <w:p w14:paraId="3A941878"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Farahany, “Mental manipulation”</w:t>
            </w:r>
          </w:p>
          <w:p w14:paraId="5E7B78D3"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López-Silva et al., “Neurotechnological applications and the protection of mental privacy”</w:t>
            </w:r>
          </w:p>
        </w:tc>
        <w:tc>
          <w:tcPr>
            <w:tcW w:w="3100" w:type="dxa"/>
            <w:tcMar>
              <w:top w:w="100" w:type="dxa"/>
              <w:left w:w="100" w:type="dxa"/>
              <w:bottom w:w="100" w:type="dxa"/>
              <w:right w:w="100" w:type="dxa"/>
            </w:tcMar>
          </w:tcPr>
          <w:p w14:paraId="41D73090"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Freedom of thought</w:t>
            </w:r>
          </w:p>
          <w:p w14:paraId="776ECC17"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Istace, “Exploring the essence of the Freedom of Thought”</w:t>
            </w:r>
          </w:p>
          <w:p w14:paraId="70988F01"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Optional: Persson &amp; Savulescu, “The impossibility of a moral right to privacy”</w:t>
            </w:r>
          </w:p>
          <w:p w14:paraId="27B314EC"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b/>
                <w:bCs/>
                <w:i/>
                <w:iCs/>
              </w:rPr>
              <w:t>FINAL PAPER DUE</w:t>
            </w:r>
          </w:p>
        </w:tc>
      </w:tr>
      <w:tr w:rsidR="002627AE" w14:paraId="60DA0D71" w14:textId="77777777">
        <w:tc>
          <w:tcPr>
            <w:tcW w:w="1990" w:type="dxa"/>
            <w:tcMar>
              <w:top w:w="100" w:type="dxa"/>
              <w:left w:w="100" w:type="dxa"/>
              <w:bottom w:w="100" w:type="dxa"/>
              <w:right w:w="100" w:type="dxa"/>
            </w:tcMar>
          </w:tcPr>
          <w:p w14:paraId="6E77E75E"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Dec. 7 – 11</w:t>
            </w:r>
          </w:p>
          <w:p w14:paraId="08F400C1"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2780" w:type="dxa"/>
            <w:tcMar>
              <w:top w:w="100" w:type="dxa"/>
              <w:left w:w="100" w:type="dxa"/>
              <w:bottom w:w="100" w:type="dxa"/>
              <w:right w:w="100" w:type="dxa"/>
            </w:tcMar>
          </w:tcPr>
          <w:p w14:paraId="13CDAC7B"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Nuanced neuroethics + review</w:t>
            </w:r>
          </w:p>
          <w:p w14:paraId="545E9F48" w14:textId="77777777" w:rsidR="002627AE" w:rsidRDefault="00000000">
            <w:pPr>
              <w:pStyle w:val="ListParagraph"/>
              <w:widowControl w:val="0"/>
              <w:numPr>
                <w:ilvl w:val="0"/>
                <w:numId w:val="4"/>
              </w:numPr>
              <w:spacing w:line="240" w:lineRule="auto"/>
              <w:ind w:left="250"/>
              <w:rPr>
                <w:rFonts w:ascii="Times New Roman" w:eastAsia="Times New Roman" w:hAnsi="Times New Roman" w:cs="Times New Roman"/>
              </w:rPr>
            </w:pPr>
            <w:r>
              <w:rPr>
                <w:rFonts w:ascii="Times New Roman" w:eastAsia="Times New Roman" w:hAnsi="Times New Roman" w:cs="Times New Roman"/>
              </w:rPr>
              <w:t>May, ch. 10, pp. 261–272</w:t>
            </w:r>
          </w:p>
        </w:tc>
        <w:tc>
          <w:tcPr>
            <w:tcW w:w="3150" w:type="dxa"/>
            <w:tcMar>
              <w:top w:w="100" w:type="dxa"/>
              <w:left w:w="100" w:type="dxa"/>
              <w:bottom w:w="100" w:type="dxa"/>
              <w:right w:w="100" w:type="dxa"/>
            </w:tcMar>
          </w:tcPr>
          <w:p w14:paraId="4D117AA0"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OUT</w:t>
            </w:r>
          </w:p>
        </w:tc>
        <w:tc>
          <w:tcPr>
            <w:tcW w:w="3100" w:type="dxa"/>
            <w:tcMar>
              <w:top w:w="100" w:type="dxa"/>
              <w:left w:w="100" w:type="dxa"/>
              <w:bottom w:w="100" w:type="dxa"/>
              <w:right w:w="100" w:type="dxa"/>
            </w:tcMar>
          </w:tcPr>
          <w:p w14:paraId="329A346D"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OUT</w:t>
            </w:r>
          </w:p>
        </w:tc>
      </w:tr>
    </w:tbl>
    <w:p w14:paraId="28428BB5" w14:textId="77777777" w:rsidR="002627AE"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i/>
          <w:iCs/>
        </w:rPr>
        <w:t>† If Oct. 16 becomes an out-of-town day, this session is cut and later sessions shift up one; the Dec. 7 session absorbs the change.</w:t>
      </w:r>
    </w:p>
    <w:p w14:paraId="1BF66890" w14:textId="77777777" w:rsidR="001C2B3F" w:rsidRPr="00303102" w:rsidRDefault="001C2B3F" w:rsidP="001C2B3F">
      <w:pPr>
        <w:rPr>
          <w:rFonts w:ascii="Times New Roman" w:eastAsia="Times New Roman" w:hAnsi="Times New Roman" w:cs="Times New Roman"/>
        </w:rPr>
      </w:pPr>
    </w:p>
    <w:p w14:paraId="57160C91" w14:textId="77777777" w:rsidR="001C2B3F" w:rsidRPr="00303102" w:rsidRDefault="001C2B3F" w:rsidP="001C2B3F">
      <w:pPr>
        <w:rPr>
          <w:rFonts w:ascii="Times New Roman" w:hAnsi="Times New Roman" w:cs="Times New Roman"/>
        </w:rPr>
      </w:pPr>
    </w:p>
    <w:p w14:paraId="03ECEF9F" w14:textId="77777777" w:rsidR="001C2B3F" w:rsidRDefault="001C2B3F" w:rsidP="001C2B3F">
      <w:pPr>
        <w:tabs>
          <w:tab w:val="left" w:pos="720"/>
        </w:tabs>
        <w:ind w:left="720"/>
        <w:jc w:val="center"/>
        <w:rPr>
          <w:rFonts w:ascii="Times New Roman" w:hAnsi="Times New Roman" w:cs="Times New Roman"/>
          <w:i/>
          <w:iCs/>
        </w:rPr>
      </w:pPr>
    </w:p>
    <w:p w14:paraId="33B14B2E" w14:textId="77777777" w:rsidR="001C2B3F" w:rsidRPr="00610B6E" w:rsidRDefault="001C2B3F" w:rsidP="001C2B3F">
      <w:pPr>
        <w:rPr>
          <w:rFonts w:ascii="Times New Roman" w:hAnsi="Times New Roman" w:cs="Times New Roman"/>
        </w:rPr>
      </w:pPr>
    </w:p>
    <w:p w14:paraId="339DE1D4" w14:textId="77777777" w:rsidR="00AC6CA3" w:rsidRDefault="00AC6CA3"/>
    <w:sectPr w:rsidR="00AC6CA3" w:rsidSect="00D95D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624EBE"/>
    <w:multiLevelType w:val="hybridMultilevel"/>
    <w:tmpl w:val="AA38D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20101A"/>
    <w:multiLevelType w:val="hybridMultilevel"/>
    <w:tmpl w:val="4E6E4766"/>
    <w:lvl w:ilvl="0" w:tplc="66E4B8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06647E"/>
    <w:multiLevelType w:val="hybridMultilevel"/>
    <w:tmpl w:val="1314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2971FA"/>
    <w:multiLevelType w:val="hybridMultilevel"/>
    <w:tmpl w:val="D8049986"/>
    <w:lvl w:ilvl="0" w:tplc="04661D28">
      <w:start w:val="6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F722E0"/>
    <w:multiLevelType w:val="hybridMultilevel"/>
    <w:tmpl w:val="5B8A31C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15:restartNumberingAfterBreak="0">
    <w:nsid w:val="36006D7E"/>
    <w:multiLevelType w:val="hybridMultilevel"/>
    <w:tmpl w:val="37B6D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160985"/>
    <w:multiLevelType w:val="hybridMultilevel"/>
    <w:tmpl w:val="C2641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155458"/>
    <w:multiLevelType w:val="hybridMultilevel"/>
    <w:tmpl w:val="0584E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7177D8"/>
    <w:multiLevelType w:val="hybridMultilevel"/>
    <w:tmpl w:val="DC7E5CC0"/>
    <w:lvl w:ilvl="0" w:tplc="04090001">
      <w:start w:val="1"/>
      <w:numFmt w:val="bullet"/>
      <w:lvlText w:val=""/>
      <w:lvlJc w:val="left"/>
      <w:pPr>
        <w:ind w:left="610" w:hanging="360"/>
      </w:pPr>
      <w:rPr>
        <w:rFonts w:ascii="Symbol" w:hAnsi="Symbol" w:hint="default"/>
      </w:rPr>
    </w:lvl>
    <w:lvl w:ilvl="1" w:tplc="04090003" w:tentative="1">
      <w:start w:val="1"/>
      <w:numFmt w:val="bullet"/>
      <w:lvlText w:val="o"/>
      <w:lvlJc w:val="left"/>
      <w:pPr>
        <w:ind w:left="1330" w:hanging="360"/>
      </w:pPr>
      <w:rPr>
        <w:rFonts w:ascii="Courier New" w:hAnsi="Courier New" w:cs="Courier New" w:hint="default"/>
      </w:rPr>
    </w:lvl>
    <w:lvl w:ilvl="2" w:tplc="04090005" w:tentative="1">
      <w:start w:val="1"/>
      <w:numFmt w:val="bullet"/>
      <w:lvlText w:val=""/>
      <w:lvlJc w:val="left"/>
      <w:pPr>
        <w:ind w:left="2050" w:hanging="360"/>
      </w:pPr>
      <w:rPr>
        <w:rFonts w:ascii="Wingdings" w:hAnsi="Wingdings" w:hint="default"/>
      </w:rPr>
    </w:lvl>
    <w:lvl w:ilvl="3" w:tplc="04090001" w:tentative="1">
      <w:start w:val="1"/>
      <w:numFmt w:val="bullet"/>
      <w:lvlText w:val=""/>
      <w:lvlJc w:val="left"/>
      <w:pPr>
        <w:ind w:left="2770" w:hanging="360"/>
      </w:pPr>
      <w:rPr>
        <w:rFonts w:ascii="Symbol" w:hAnsi="Symbol" w:hint="default"/>
      </w:rPr>
    </w:lvl>
    <w:lvl w:ilvl="4" w:tplc="04090003" w:tentative="1">
      <w:start w:val="1"/>
      <w:numFmt w:val="bullet"/>
      <w:lvlText w:val="o"/>
      <w:lvlJc w:val="left"/>
      <w:pPr>
        <w:ind w:left="3490" w:hanging="360"/>
      </w:pPr>
      <w:rPr>
        <w:rFonts w:ascii="Courier New" w:hAnsi="Courier New" w:cs="Courier New" w:hint="default"/>
      </w:rPr>
    </w:lvl>
    <w:lvl w:ilvl="5" w:tplc="04090005" w:tentative="1">
      <w:start w:val="1"/>
      <w:numFmt w:val="bullet"/>
      <w:lvlText w:val=""/>
      <w:lvlJc w:val="left"/>
      <w:pPr>
        <w:ind w:left="4210" w:hanging="360"/>
      </w:pPr>
      <w:rPr>
        <w:rFonts w:ascii="Wingdings" w:hAnsi="Wingdings" w:hint="default"/>
      </w:rPr>
    </w:lvl>
    <w:lvl w:ilvl="6" w:tplc="04090001" w:tentative="1">
      <w:start w:val="1"/>
      <w:numFmt w:val="bullet"/>
      <w:lvlText w:val=""/>
      <w:lvlJc w:val="left"/>
      <w:pPr>
        <w:ind w:left="4930" w:hanging="360"/>
      </w:pPr>
      <w:rPr>
        <w:rFonts w:ascii="Symbol" w:hAnsi="Symbol" w:hint="default"/>
      </w:rPr>
    </w:lvl>
    <w:lvl w:ilvl="7" w:tplc="04090003" w:tentative="1">
      <w:start w:val="1"/>
      <w:numFmt w:val="bullet"/>
      <w:lvlText w:val="o"/>
      <w:lvlJc w:val="left"/>
      <w:pPr>
        <w:ind w:left="5650" w:hanging="360"/>
      </w:pPr>
      <w:rPr>
        <w:rFonts w:ascii="Courier New" w:hAnsi="Courier New" w:cs="Courier New" w:hint="default"/>
      </w:rPr>
    </w:lvl>
    <w:lvl w:ilvl="8" w:tplc="04090005" w:tentative="1">
      <w:start w:val="1"/>
      <w:numFmt w:val="bullet"/>
      <w:lvlText w:val=""/>
      <w:lvlJc w:val="left"/>
      <w:pPr>
        <w:ind w:left="6370" w:hanging="360"/>
      </w:pPr>
      <w:rPr>
        <w:rFonts w:ascii="Wingdings" w:hAnsi="Wingdings" w:hint="default"/>
      </w:rPr>
    </w:lvl>
  </w:abstractNum>
  <w:abstractNum w:abstractNumId="9" w15:restartNumberingAfterBreak="0">
    <w:nsid w:val="558B7F05"/>
    <w:multiLevelType w:val="hybridMultilevel"/>
    <w:tmpl w:val="D9A6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7C13A7"/>
    <w:multiLevelType w:val="hybridMultilevel"/>
    <w:tmpl w:val="06E60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3447651">
    <w:abstractNumId w:val="3"/>
  </w:num>
  <w:num w:numId="2" w16cid:durableId="490175231">
    <w:abstractNumId w:val="1"/>
  </w:num>
  <w:num w:numId="3" w16cid:durableId="2110003661">
    <w:abstractNumId w:val="4"/>
  </w:num>
  <w:num w:numId="4" w16cid:durableId="1923175652">
    <w:abstractNumId w:val="6"/>
  </w:num>
  <w:num w:numId="5" w16cid:durableId="2096973714">
    <w:abstractNumId w:val="5"/>
  </w:num>
  <w:num w:numId="6" w16cid:durableId="1664504390">
    <w:abstractNumId w:val="7"/>
  </w:num>
  <w:num w:numId="7" w16cid:durableId="370761620">
    <w:abstractNumId w:val="10"/>
  </w:num>
  <w:num w:numId="8" w16cid:durableId="235089462">
    <w:abstractNumId w:val="2"/>
  </w:num>
  <w:num w:numId="9" w16cid:durableId="215509114">
    <w:abstractNumId w:val="0"/>
  </w:num>
  <w:num w:numId="10" w16cid:durableId="1736201652">
    <w:abstractNumId w:val="9"/>
  </w:num>
  <w:num w:numId="11" w16cid:durableId="874469008">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B3F"/>
    <w:rsid w:val="001C2B3F"/>
    <w:rsid w:val="002627AE"/>
    <w:rsid w:val="00404853"/>
    <w:rsid w:val="00463C99"/>
    <w:rsid w:val="0047193B"/>
    <w:rsid w:val="005768A6"/>
    <w:rsid w:val="006747FC"/>
    <w:rsid w:val="0074134D"/>
    <w:rsid w:val="009E0F69"/>
    <w:rsid w:val="00AC6CA3"/>
    <w:rsid w:val="00AD4B5A"/>
    <w:rsid w:val="00AE3B50"/>
    <w:rsid w:val="00CF0213"/>
    <w:rsid w:val="00D95D38"/>
    <w:rsid w:val="00F91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86A1DE"/>
  <w15:chartTrackingRefBased/>
  <w15:docId w15:val="{11480770-EF3B-E748-839F-8AD3809A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B3F"/>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1C2B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2B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2B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2B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2B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2B3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2B3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2B3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2B3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B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2B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2B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2B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2B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2B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2B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2B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2B3F"/>
    <w:rPr>
      <w:rFonts w:eastAsiaTheme="majorEastAsia" w:cstheme="majorBidi"/>
      <w:color w:val="272727" w:themeColor="text1" w:themeTint="D8"/>
    </w:rPr>
  </w:style>
  <w:style w:type="paragraph" w:styleId="Title">
    <w:name w:val="Title"/>
    <w:basedOn w:val="Normal"/>
    <w:next w:val="Normal"/>
    <w:link w:val="TitleChar"/>
    <w:uiPriority w:val="10"/>
    <w:qFormat/>
    <w:rsid w:val="001C2B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B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2B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2B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2B3F"/>
    <w:pPr>
      <w:spacing w:before="160"/>
      <w:jc w:val="center"/>
    </w:pPr>
    <w:rPr>
      <w:i/>
      <w:iCs/>
      <w:color w:val="404040" w:themeColor="text1" w:themeTint="BF"/>
    </w:rPr>
  </w:style>
  <w:style w:type="character" w:customStyle="1" w:styleId="QuoteChar">
    <w:name w:val="Quote Char"/>
    <w:basedOn w:val="DefaultParagraphFont"/>
    <w:link w:val="Quote"/>
    <w:uiPriority w:val="29"/>
    <w:rsid w:val="001C2B3F"/>
    <w:rPr>
      <w:i/>
      <w:iCs/>
      <w:color w:val="404040" w:themeColor="text1" w:themeTint="BF"/>
    </w:rPr>
  </w:style>
  <w:style w:type="paragraph" w:styleId="ListParagraph">
    <w:name w:val="List Paragraph"/>
    <w:basedOn w:val="Normal"/>
    <w:uiPriority w:val="34"/>
    <w:qFormat/>
    <w:rsid w:val="001C2B3F"/>
    <w:pPr>
      <w:ind w:left="720"/>
      <w:contextualSpacing/>
    </w:pPr>
  </w:style>
  <w:style w:type="character" w:styleId="IntenseEmphasis">
    <w:name w:val="Intense Emphasis"/>
    <w:basedOn w:val="DefaultParagraphFont"/>
    <w:uiPriority w:val="21"/>
    <w:qFormat/>
    <w:rsid w:val="001C2B3F"/>
    <w:rPr>
      <w:i/>
      <w:iCs/>
      <w:color w:val="0F4761" w:themeColor="accent1" w:themeShade="BF"/>
    </w:rPr>
  </w:style>
  <w:style w:type="paragraph" w:styleId="IntenseQuote">
    <w:name w:val="Intense Quote"/>
    <w:basedOn w:val="Normal"/>
    <w:next w:val="Normal"/>
    <w:link w:val="IntenseQuoteChar"/>
    <w:uiPriority w:val="30"/>
    <w:qFormat/>
    <w:rsid w:val="001C2B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2B3F"/>
    <w:rPr>
      <w:i/>
      <w:iCs/>
      <w:color w:val="0F4761" w:themeColor="accent1" w:themeShade="BF"/>
    </w:rPr>
  </w:style>
  <w:style w:type="character" w:styleId="IntenseReference">
    <w:name w:val="Intense Reference"/>
    <w:basedOn w:val="DefaultParagraphFont"/>
    <w:uiPriority w:val="32"/>
    <w:qFormat/>
    <w:rsid w:val="001C2B3F"/>
    <w:rPr>
      <w:b/>
      <w:bCs/>
      <w:smallCaps/>
      <w:color w:val="0F4761" w:themeColor="accent1" w:themeShade="BF"/>
      <w:spacing w:val="5"/>
    </w:rPr>
  </w:style>
  <w:style w:type="character" w:styleId="Hyperlink">
    <w:name w:val="Hyperlink"/>
    <w:basedOn w:val="DefaultParagraphFont"/>
    <w:uiPriority w:val="99"/>
    <w:unhideWhenUsed/>
    <w:rsid w:val="001C2B3F"/>
    <w:rPr>
      <w:color w:val="467886" w:themeColor="hyperlink"/>
      <w:u w:val="single"/>
    </w:rPr>
  </w:style>
  <w:style w:type="paragraph" w:styleId="NormalWeb">
    <w:name w:val="Normal (Web)"/>
    <w:basedOn w:val="Normal"/>
    <w:uiPriority w:val="99"/>
    <w:unhideWhenUsed/>
    <w:rsid w:val="001C2B3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murray7@providence.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1196</Words>
  <Characters>6819</Characters>
  <Application>Microsoft Office Word</Application>
  <DocSecurity>0</DocSecurity>
  <Lines>56</Lines>
  <Paragraphs>15</Paragraphs>
  <ScaleCrop>false</ScaleCrop>
  <Company/>
  <LinksUpToDate>false</LinksUpToDate>
  <CharactersWithSpaces>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Samuel</dc:creator>
  <cp:keywords/>
  <dc:description/>
  <cp:lastModifiedBy>Murray, Samuel</cp:lastModifiedBy>
  <cp:revision>5</cp:revision>
  <dcterms:created xsi:type="dcterms:W3CDTF">2025-09-01T13:52:00Z</dcterms:created>
  <dcterms:modified xsi:type="dcterms:W3CDTF">2026-08-29T23:46:00Z</dcterms:modified>
</cp:coreProperties>
</file>