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27958F" w14:textId="77777777" w:rsidR="00FE0925" w:rsidRPr="00DD232E" w:rsidRDefault="00000000" w:rsidP="00DD232E">
      <w:pPr>
        <w:pStyle w:val="Title"/>
        <w:jc w:val="center"/>
        <w:rPr>
          <w:rFonts w:ascii="Times New Roman" w:hAnsi="Times New Roman" w:cs="Times New Roman"/>
          <w:sz w:val="24"/>
          <w:szCs w:val="24"/>
        </w:rPr>
      </w:pPr>
      <w:r w:rsidRPr="00DD232E">
        <w:rPr>
          <w:rFonts w:ascii="Times New Roman" w:hAnsi="Times New Roman" w:cs="Times New Roman"/>
          <w:sz w:val="24"/>
          <w:szCs w:val="24"/>
        </w:rPr>
        <w:t>Neuroethics Midterm Study Guide</w:t>
      </w:r>
    </w:p>
    <w:p w14:paraId="4FE033E4" w14:textId="4C453712"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 xml:space="preserve">This guide organizes the material covered so far: basic neuroscience, free will, the moral brain, addiction, and psychedelics. The exam will use short and long essays. Prepare to explain central concepts, reconstruct arguments, evaluate objections, and apply the material to cases. The practice questions below illustrate the </w:t>
      </w:r>
      <w:r w:rsidRPr="00DD232E">
        <w:rPr>
          <w:rFonts w:ascii="Times New Roman" w:hAnsi="Times New Roman" w:cs="Times New Roman"/>
          <w:i/>
          <w:iCs/>
          <w:sz w:val="24"/>
          <w:szCs w:val="24"/>
        </w:rPr>
        <w:t>kinds</w:t>
      </w:r>
      <w:r w:rsidRPr="00DD232E">
        <w:rPr>
          <w:rFonts w:ascii="Times New Roman" w:hAnsi="Times New Roman" w:cs="Times New Roman"/>
          <w:sz w:val="24"/>
          <w:szCs w:val="24"/>
        </w:rPr>
        <w:t xml:space="preserve"> of </w:t>
      </w:r>
      <w:r w:rsidR="00DD232E">
        <w:rPr>
          <w:rFonts w:ascii="Times New Roman" w:hAnsi="Times New Roman" w:cs="Times New Roman"/>
          <w:sz w:val="24"/>
          <w:szCs w:val="24"/>
        </w:rPr>
        <w:t>questions</w:t>
      </w:r>
      <w:r w:rsidRPr="00DD232E">
        <w:rPr>
          <w:rFonts w:ascii="Times New Roman" w:hAnsi="Times New Roman" w:cs="Times New Roman"/>
          <w:sz w:val="24"/>
          <w:szCs w:val="24"/>
        </w:rPr>
        <w:t xml:space="preserve"> to prepare for.</w:t>
      </w:r>
    </w:p>
    <w:p w14:paraId="67339D33"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How to organize your studying</w:t>
      </w:r>
    </w:p>
    <w:p w14:paraId="42229288"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For each topic, make a one-page outline with the central question, the main positions, an argument for each position, and the strongest objection you can give. Add one example from class and the reading or slide that explains it. Then practice answering a question without your notes.</w:t>
      </w:r>
    </w:p>
    <w:p w14:paraId="435C3F8D"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Give greatest attention to these recurring distinctions:</w:t>
      </w:r>
    </w:p>
    <w:p w14:paraId="44FEDD63"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A neural explanation of behavior and an excuse for that behavior.</w:t>
      </w:r>
    </w:p>
    <w:p w14:paraId="007FFEA7"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What an experiment measures, how we interpret it, and the further conclusion we want to draw.</w:t>
      </w:r>
    </w:p>
    <w:p w14:paraId="4958FE6C"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Having some control, finding control difficult, and sustaining change over time.</w:t>
      </w:r>
    </w:p>
    <w:p w14:paraId="76254016"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How a judgment or belief arises and whether it is justified.</w:t>
      </w:r>
    </w:p>
    <w:p w14:paraId="0E1882E8"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What attracts a person in a situation and what serves that person's good.</w:t>
      </w:r>
    </w:p>
    <w:p w14:paraId="5D62BBF2"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The level of empirical detail to know</w:t>
      </w:r>
    </w:p>
    <w:p w14:paraId="2FD11F90"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Know the question a study addresses, its basic comparison, the broad finding, and one limitation. For Libet, understand the relation between neural preparation and reported awareness. For Greene, understand the comparison of dilemma categories. For addiction studies, understand responsiveness to alternatives. For psychedelic therapy, distinguish evidence of benefit from evidence about its mechanism.</w:t>
      </w:r>
    </w:p>
    <w:p w14:paraId="04B49954"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Your priority should be the argumentative significance of those findings. Exact millisecond values, sample sizes, percentages, receptor subtypes beyond the broad class discussion, statistical tests, and detailed anatomical labeling are not the focus of this guide.</w:t>
      </w:r>
    </w:p>
    <w:p w14:paraId="1F6ADFF8"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Using the references</w:t>
      </w:r>
    </w:p>
    <w:p w14:paraId="621EE643"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 xml:space="preserve">May means </w:t>
      </w:r>
      <w:r w:rsidRPr="00DD232E">
        <w:rPr>
          <w:rFonts w:ascii="Times New Roman" w:hAnsi="Times New Roman" w:cs="Times New Roman"/>
          <w:i/>
          <w:sz w:val="24"/>
          <w:szCs w:val="24"/>
        </w:rPr>
        <w:t>Neuroethics: Agency in the Age of Brain Science</w:t>
      </w:r>
      <w:r w:rsidRPr="00DD232E">
        <w:rPr>
          <w:rFonts w:ascii="Times New Roman" w:hAnsi="Times New Roman" w:cs="Times New Roman"/>
          <w:sz w:val="24"/>
          <w:szCs w:val="24"/>
        </w:rPr>
        <w:t xml:space="preserve">. Pickard refers to </w:t>
      </w:r>
      <w:r w:rsidRPr="00DD232E">
        <w:rPr>
          <w:rFonts w:ascii="Times New Roman" w:hAnsi="Times New Roman" w:cs="Times New Roman"/>
          <w:i/>
          <w:sz w:val="24"/>
          <w:szCs w:val="24"/>
        </w:rPr>
        <w:t>What Would You Do Alone in a Cage with Nothing but Cocaine?</w:t>
      </w:r>
      <w:r w:rsidRPr="00DD232E">
        <w:rPr>
          <w:rFonts w:ascii="Times New Roman" w:hAnsi="Times New Roman" w:cs="Times New Roman"/>
          <w:sz w:val="24"/>
          <w:szCs w:val="24"/>
        </w:rPr>
        <w:t xml:space="preserve"> PCN means </w:t>
      </w:r>
      <w:r w:rsidRPr="00DD232E">
        <w:rPr>
          <w:rFonts w:ascii="Times New Roman" w:hAnsi="Times New Roman" w:cs="Times New Roman"/>
          <w:i/>
          <w:sz w:val="24"/>
          <w:szCs w:val="24"/>
        </w:rPr>
        <w:t>Principles of Cognitive Neuroscience</w:t>
      </w:r>
      <w:r w:rsidRPr="00DD232E">
        <w:rPr>
          <w:rFonts w:ascii="Times New Roman" w:hAnsi="Times New Roman" w:cs="Times New Roman"/>
          <w:sz w:val="24"/>
          <w:szCs w:val="24"/>
        </w:rPr>
        <w:t xml:space="preserve">, second edition. Neuro6 means </w:t>
      </w:r>
      <w:r w:rsidRPr="00DD232E">
        <w:rPr>
          <w:rFonts w:ascii="Times New Roman" w:hAnsi="Times New Roman" w:cs="Times New Roman"/>
          <w:i/>
          <w:sz w:val="24"/>
          <w:szCs w:val="24"/>
        </w:rPr>
        <w:t>Neuroscience</w:t>
      </w:r>
      <w:r w:rsidRPr="00DD232E">
        <w:rPr>
          <w:rFonts w:ascii="Times New Roman" w:hAnsi="Times New Roman" w:cs="Times New Roman"/>
          <w:sz w:val="24"/>
          <w:szCs w:val="24"/>
        </w:rPr>
        <w:t>, sixth edition. Book references use printed page numbers; Heyman and Sripada references use course PDF pages.</w:t>
      </w:r>
    </w:p>
    <w:p w14:paraId="567488E2"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 xml:space="preserve">Find materials through the </w:t>
      </w:r>
      <w:hyperlink r:id="rId8">
        <w:r w:rsidRPr="00DD232E">
          <w:rPr>
            <w:rFonts w:ascii="Times New Roman" w:hAnsi="Times New Roman" w:cs="Times New Roman"/>
            <w:color w:val="174A75"/>
            <w:sz w:val="24"/>
            <w:szCs w:val="24"/>
            <w:u w:val="single"/>
          </w:rPr>
          <w:t>course slides page</w:t>
        </w:r>
      </w:hyperlink>
      <w:r w:rsidRPr="00DD232E">
        <w:rPr>
          <w:rFonts w:ascii="Times New Roman" w:hAnsi="Times New Roman" w:cs="Times New Roman"/>
          <w:sz w:val="24"/>
          <w:szCs w:val="24"/>
        </w:rPr>
        <w:t xml:space="preserve"> and </w:t>
      </w:r>
      <w:hyperlink r:id="rId9">
        <w:r w:rsidRPr="00DD232E">
          <w:rPr>
            <w:rFonts w:ascii="Times New Roman" w:hAnsi="Times New Roman" w:cs="Times New Roman"/>
            <w:color w:val="174A75"/>
            <w:sz w:val="24"/>
            <w:szCs w:val="24"/>
            <w:u w:val="single"/>
          </w:rPr>
          <w:t>course readings page</w:t>
        </w:r>
      </w:hyperlink>
      <w:r w:rsidRPr="00DD232E">
        <w:rPr>
          <w:rFonts w:ascii="Times New Roman" w:hAnsi="Times New Roman" w:cs="Times New Roman"/>
          <w:sz w:val="24"/>
          <w:szCs w:val="24"/>
        </w:rPr>
        <w:t>. Use slide titles if numbering differs between copies. For Sessions 5, 6, and 11, consult the deck or notes distributed in class. Optional readings provide additional help; do not treat their unaddressed details as a separate body of required material.</w:t>
      </w:r>
    </w:p>
    <w:p w14:paraId="4FB41932" w14:textId="77777777" w:rsidR="00FE0925" w:rsidRPr="00DD232E" w:rsidRDefault="00000000" w:rsidP="00DD232E">
      <w:pPr>
        <w:pStyle w:val="Heading1"/>
        <w:pageBreakBefore/>
        <w:jc w:val="both"/>
        <w:rPr>
          <w:rFonts w:ascii="Times New Roman" w:hAnsi="Times New Roman" w:cs="Times New Roman"/>
          <w:sz w:val="24"/>
          <w:szCs w:val="24"/>
        </w:rPr>
      </w:pPr>
      <w:r w:rsidRPr="00DD232E">
        <w:rPr>
          <w:rFonts w:ascii="Times New Roman" w:hAnsi="Times New Roman" w:cs="Times New Roman"/>
          <w:sz w:val="24"/>
          <w:szCs w:val="24"/>
        </w:rPr>
        <w:lastRenderedPageBreak/>
        <w:t>1 Basic neuroscience</w:t>
      </w:r>
    </w:p>
    <w:p w14:paraId="4B377DDD" w14:textId="2CC966CB"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The central task is to understand enough neuroscience to evaluate a claim about minds and behavior. Explain how neural mechanisms contribute to psychological capacities and identify the further premises needed for an ethical conclusion</w:t>
      </w:r>
      <w:r w:rsidR="00DD232E">
        <w:rPr>
          <w:rFonts w:ascii="Times New Roman" w:hAnsi="Times New Roman" w:cs="Times New Roman"/>
          <w:sz w:val="24"/>
          <w:szCs w:val="24"/>
        </w:rPr>
        <w:t xml:space="preserve"> (hint: think Greene)</w:t>
      </w:r>
      <w:r w:rsidRPr="00DD232E">
        <w:rPr>
          <w:rFonts w:ascii="Times New Roman" w:hAnsi="Times New Roman" w:cs="Times New Roman"/>
          <w:sz w:val="24"/>
          <w:szCs w:val="24"/>
        </w:rPr>
        <w:t>.</w:t>
      </w:r>
    </w:p>
    <w:p w14:paraId="2AE453F0"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Be able to explain</w:t>
      </w:r>
    </w:p>
    <w:p w14:paraId="1474F110" w14:textId="5B182CB2"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Organization of the brain.</w:t>
      </w:r>
      <w:r w:rsidRPr="00DD232E">
        <w:rPr>
          <w:rFonts w:ascii="Times New Roman" w:hAnsi="Times New Roman" w:cs="Times New Roman"/>
          <w:sz w:val="24"/>
          <w:szCs w:val="24"/>
        </w:rPr>
        <w:t xml:space="preserve"> Distinguish gray matter from white matter and local processing from connections among regions. Understand why a region can contribute to several </w:t>
      </w:r>
      <w:proofErr w:type="gramStart"/>
      <w:r w:rsidRPr="00DD232E">
        <w:rPr>
          <w:rFonts w:ascii="Times New Roman" w:hAnsi="Times New Roman" w:cs="Times New Roman"/>
          <w:sz w:val="24"/>
          <w:szCs w:val="24"/>
        </w:rPr>
        <w:t>functions</w:t>
      </w:r>
      <w:proofErr w:type="gramEnd"/>
      <w:r w:rsidRPr="00DD232E">
        <w:rPr>
          <w:rFonts w:ascii="Times New Roman" w:hAnsi="Times New Roman" w:cs="Times New Roman"/>
          <w:sz w:val="24"/>
          <w:szCs w:val="24"/>
        </w:rPr>
        <w:t xml:space="preserve"> and a function can depend on several regions.</w:t>
      </w:r>
    </w:p>
    <w:p w14:paraId="616CFD89"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Methods and inference.</w:t>
      </w:r>
      <w:r w:rsidRPr="00DD232E">
        <w:rPr>
          <w:rFonts w:ascii="Times New Roman" w:hAnsi="Times New Roman" w:cs="Times New Roman"/>
          <w:sz w:val="24"/>
          <w:szCs w:val="24"/>
        </w:rPr>
        <w:t xml:space="preserve"> EEG records electrical activity with useful timing information. BOLD fMRI measures an indirect physiological signal associated with neural activity. Lesions and stimulation can help investigate causal contribution, with limits involving spread, network effects, and compensation. Match the method to the question.</w:t>
      </w:r>
    </w:p>
    <w:p w14:paraId="2D4768E2"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Reverse inference.</w:t>
      </w:r>
      <w:r w:rsidRPr="00DD232E">
        <w:rPr>
          <w:rFonts w:ascii="Times New Roman" w:hAnsi="Times New Roman" w:cs="Times New Roman"/>
          <w:sz w:val="24"/>
          <w:szCs w:val="24"/>
        </w:rPr>
        <w:t xml:space="preserve"> Activity in a region associated with a process does not uniquely identify that process. An inference from insula activity to love, or from activity in an emotion-associated region to a specific emotion, needs evidence of selectivity.</w:t>
      </w:r>
    </w:p>
    <w:p w14:paraId="278F6019"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The ethical step.</w:t>
      </w:r>
      <w:r w:rsidRPr="00DD232E">
        <w:rPr>
          <w:rFonts w:ascii="Times New Roman" w:hAnsi="Times New Roman" w:cs="Times New Roman"/>
          <w:sz w:val="24"/>
          <w:szCs w:val="24"/>
        </w:rPr>
        <w:t xml:space="preserve"> Distinguish empirical and normative claims. Explain the difference between the ethics of neuroscience and the neuroscience of ethics. A claim about what happens needs an additional premise to support a claim about what ought to happen.</w:t>
      </w:r>
    </w:p>
    <w:p w14:paraId="42666930"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Ethical tools to use throughout the exam</w:t>
      </w:r>
    </w:p>
    <w:p w14:paraId="6DDE2290"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Understand how consequentialism evaluates outcomes, how utilitarianism focuses on overall well-being, how deontology gives weight to duties and constraints, and how virtue ethics attends to character and practical wisdom. Apply autonomy, beneficence, non-maleficence, and justice to a case. You should be able to identify a conflict between principles and defend how you resolve it.</w:t>
      </w:r>
    </w:p>
    <w:p w14:paraId="7DE0DD21"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Slides and readings</w:t>
      </w:r>
    </w:p>
    <w:p w14:paraId="36902DB4"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1, What Is Neuroethics:</w:t>
      </w:r>
      <w:r w:rsidRPr="00DD232E">
        <w:rPr>
          <w:rFonts w:ascii="Times New Roman" w:hAnsi="Times New Roman" w:cs="Times New Roman"/>
          <w:sz w:val="24"/>
          <w:szCs w:val="24"/>
        </w:rPr>
        <w:t xml:space="preserve"> slides 3-5 and 8-11, especially explanation, interpretation, and judgment. May, ch. 1, pp. 3-14.</w:t>
      </w:r>
    </w:p>
    <w:p w14:paraId="54362FD3"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2, Brain Geography:</w:t>
      </w:r>
      <w:r w:rsidRPr="00DD232E">
        <w:rPr>
          <w:rFonts w:ascii="Times New Roman" w:hAnsi="Times New Roman" w:cs="Times New Roman"/>
          <w:sz w:val="24"/>
          <w:szCs w:val="24"/>
        </w:rPr>
        <w:t xml:space="preserve"> slides 6 and 9-12, especially networks and evidence. PCN Appendix, pp. 552-561; May, Brain Basics, pp. 23-31.</w:t>
      </w:r>
    </w:p>
    <w:p w14:paraId="3DD59EE6"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3, Neural Currency:</w:t>
      </w:r>
      <w:r w:rsidRPr="00DD232E">
        <w:rPr>
          <w:rFonts w:ascii="Times New Roman" w:hAnsi="Times New Roman" w:cs="Times New Roman"/>
          <w:sz w:val="24"/>
          <w:szCs w:val="24"/>
        </w:rPr>
        <w:t xml:space="preserve"> slides 2-7, 9, and 11-14. Neuro6, ch. 6, p. 113 and pp. 131-135. Optional synapse background: ch. 5, pp. 88-91.</w:t>
      </w:r>
    </w:p>
    <w:p w14:paraId="473DB0F3"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4, The Instruments:</w:t>
      </w:r>
      <w:r w:rsidRPr="00DD232E">
        <w:rPr>
          <w:rFonts w:ascii="Times New Roman" w:hAnsi="Times New Roman" w:cs="Times New Roman"/>
          <w:sz w:val="24"/>
          <w:szCs w:val="24"/>
        </w:rPr>
        <w:t xml:space="preserve"> slides 4-5 and 8-14, especially reverse inference. PCN, ch. 2, pp. 38-48.</w:t>
      </w:r>
    </w:p>
    <w:p w14:paraId="24BA3A7D"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5, The Field and the Ethical Toolkit:</w:t>
      </w:r>
      <w:r w:rsidRPr="00DD232E">
        <w:rPr>
          <w:rFonts w:ascii="Times New Roman" w:hAnsi="Times New Roman" w:cs="Times New Roman"/>
          <w:sz w:val="24"/>
          <w:szCs w:val="24"/>
        </w:rPr>
        <w:t xml:space="preserve"> Physicalism; An Ethical Argument; Consequences; Duties; Virtue Ethics; Values in Conflict. May, Philosophy Primer, pp. 15-22; Farah, pp. 761-777, especially pp. 773-776.</w:t>
      </w:r>
    </w:p>
    <w:p w14:paraId="17628995"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Practice</w:t>
      </w:r>
    </w:p>
    <w:p w14:paraId="3A44C723"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Short essay:</w:t>
      </w:r>
      <w:r w:rsidRPr="00DD232E">
        <w:rPr>
          <w:rFonts w:ascii="Times New Roman" w:hAnsi="Times New Roman" w:cs="Times New Roman"/>
          <w:sz w:val="24"/>
          <w:szCs w:val="24"/>
        </w:rPr>
        <w:t xml:space="preserve"> Explain reverse inference using a brain-imaging claim. What additional evidence would strengthen that inference?</w:t>
      </w:r>
    </w:p>
    <w:p w14:paraId="7B98516B"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Long essay:</w:t>
      </w:r>
      <w:r w:rsidRPr="00DD232E">
        <w:rPr>
          <w:rFonts w:ascii="Times New Roman" w:hAnsi="Times New Roman" w:cs="Times New Roman"/>
          <w:sz w:val="24"/>
          <w:szCs w:val="24"/>
        </w:rPr>
        <w:t xml:space="preserve"> A scan shows a brain difference in someone who behaved harmfully. Explain how to move from this observation to a justified assessment of responsibility. Identify the psychological evidence and ethical premises still needed.</w:t>
      </w:r>
    </w:p>
    <w:p w14:paraId="1D786F8F" w14:textId="77777777" w:rsidR="00FE0925" w:rsidRPr="00DD232E" w:rsidRDefault="00000000" w:rsidP="00DD232E">
      <w:pPr>
        <w:pStyle w:val="Heading1"/>
        <w:pageBreakBefore/>
        <w:jc w:val="both"/>
        <w:rPr>
          <w:rFonts w:ascii="Times New Roman" w:hAnsi="Times New Roman" w:cs="Times New Roman"/>
          <w:sz w:val="24"/>
          <w:szCs w:val="24"/>
        </w:rPr>
      </w:pPr>
      <w:r w:rsidRPr="00DD232E">
        <w:rPr>
          <w:rFonts w:ascii="Times New Roman" w:hAnsi="Times New Roman" w:cs="Times New Roman"/>
          <w:sz w:val="24"/>
          <w:szCs w:val="24"/>
        </w:rPr>
        <w:lastRenderedPageBreak/>
        <w:t>2 Free will</w:t>
      </w:r>
    </w:p>
    <w:p w14:paraId="305C73D4"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The central question is whether a neural explanation of action threatens the control needed for free will and responsibility. Keep the different proposed threats separate.</w:t>
      </w:r>
    </w:p>
    <w:p w14:paraId="65D44C4D"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Be able to explain and evaluate</w:t>
      </w:r>
    </w:p>
    <w:p w14:paraId="1C802055"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Choice, control, and coherence.</w:t>
      </w:r>
      <w:r w:rsidRPr="00DD232E">
        <w:rPr>
          <w:rFonts w:ascii="Times New Roman" w:hAnsi="Times New Roman" w:cs="Times New Roman"/>
          <w:sz w:val="24"/>
          <w:szCs w:val="24"/>
        </w:rPr>
        <w:t xml:space="preserve"> May considers available alternatives, guidance by reasons, and the relation between action and a person's commitments. Explain why freedom might come in degrees and why expressing one's values does not guarantee morally good conduct.</w:t>
      </w:r>
    </w:p>
    <w:p w14:paraId="7A65281B"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Determinism and fatalism.</w:t>
      </w:r>
      <w:r w:rsidRPr="00DD232E">
        <w:rPr>
          <w:rFonts w:ascii="Times New Roman" w:hAnsi="Times New Roman" w:cs="Times New Roman"/>
          <w:sz w:val="24"/>
          <w:szCs w:val="24"/>
        </w:rPr>
        <w:t xml:space="preserve"> Determinism says that a fixed past and laws permit only one future. Fatalism says an outcome occurs regardless of what we think or do. Explain why deliberation can still help cause an action under determinism.</w:t>
      </w:r>
    </w:p>
    <w:p w14:paraId="15C07BBD"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Compatibilism and incompatibilism.</w:t>
      </w:r>
      <w:r w:rsidRPr="00DD232E">
        <w:rPr>
          <w:rFonts w:ascii="Times New Roman" w:hAnsi="Times New Roman" w:cs="Times New Roman"/>
          <w:sz w:val="24"/>
          <w:szCs w:val="24"/>
        </w:rPr>
        <w:t xml:space="preserve"> State what each says about the compatibility of freedom and determinism. Explain the dispute about what it means to be able to act otherwise. Compatibilism does not establish that determinism is true; indeterminism alone does not establish control.</w:t>
      </w:r>
    </w:p>
    <w:p w14:paraId="0370D587"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Libet and bypassing.</w:t>
      </w:r>
      <w:r w:rsidRPr="00DD232E">
        <w:rPr>
          <w:rFonts w:ascii="Times New Roman" w:hAnsi="Times New Roman" w:cs="Times New Roman"/>
          <w:sz w:val="24"/>
          <w:szCs w:val="24"/>
        </w:rPr>
        <w:t xml:space="preserve"> Describe the task and the broad temporal finding. Reconstruct the argument that conscious intentions merely accompany actions. Ask whether early neural activity marks a completed decision and whether the task supports generalization to deliberate, consequential choices. Earlier activity can also fit a sequence in which an unconscious urge prompts a conscious intention that contributes to action.</w:t>
      </w:r>
    </w:p>
    <w:p w14:paraId="1ABC5FDB"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May's corporate model.</w:t>
      </w:r>
      <w:r w:rsidRPr="00DD232E">
        <w:rPr>
          <w:rFonts w:ascii="Times New Roman" w:hAnsi="Times New Roman" w:cs="Times New Roman"/>
          <w:sz w:val="24"/>
          <w:szCs w:val="24"/>
        </w:rPr>
        <w:t xml:space="preserve"> Explain the whole person as an agent whose conscious and unconscious processes cooperate. Use skilled action or precommitment to illustrate control without constant conscious supervision. Compare those cases with an action in which relevant capacities are impaired.</w:t>
      </w:r>
    </w:p>
    <w:p w14:paraId="47B616CC"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An objection worth preparing</w:t>
      </w:r>
    </w:p>
    <w:p w14:paraId="2F955977"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A skeptic can concede that an action expresses your values while asking why you are responsible when you did not choose the circumstances that formed those values. Explain how an appeal to capacities for understanding, control, and revision might answer this objection, and why the skeptic might remain dissatisfied.</w:t>
      </w:r>
    </w:p>
    <w:p w14:paraId="0F95FD67"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Slides and readings</w:t>
      </w:r>
    </w:p>
    <w:p w14:paraId="082723BA"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6, Free Will Determinism and Neuroscience:</w:t>
      </w:r>
      <w:r w:rsidRPr="00DD232E">
        <w:rPr>
          <w:rFonts w:ascii="Times New Roman" w:hAnsi="Times New Roman" w:cs="Times New Roman"/>
          <w:sz w:val="24"/>
          <w:szCs w:val="24"/>
        </w:rPr>
        <w:t xml:space="preserve"> What Matters for Acting Freely; Determinism; Compatibilism and Incompatibilism; Physicalism and Control; Libet's Experiment; The Argument from Bypassing; An Urge an Intention and an Action; The Whole Person as an Agent; The Origins of Our Values.</w:t>
      </w:r>
    </w:p>
    <w:p w14:paraId="609238BC"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May, ch. 2, pp. 35-61:</w:t>
      </w:r>
      <w:r w:rsidRPr="00DD232E">
        <w:rPr>
          <w:rFonts w:ascii="Times New Roman" w:hAnsi="Times New Roman" w:cs="Times New Roman"/>
          <w:sz w:val="24"/>
          <w:szCs w:val="24"/>
        </w:rPr>
        <w:t xml:space="preserve"> pp. 38-40 on freedom; pp. 40-46 on determinism and physicalism; pp. 46-54 on bypassing and experimental evidence; pp. 54-61 on agency.</w:t>
      </w:r>
    </w:p>
    <w:p w14:paraId="64977DE7"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PCN, ch. 5, pp. 144-149:</w:t>
      </w:r>
      <w:r w:rsidRPr="00DD232E">
        <w:rPr>
          <w:rFonts w:ascii="Times New Roman" w:hAnsi="Times New Roman" w:cs="Times New Roman"/>
          <w:sz w:val="24"/>
          <w:szCs w:val="24"/>
        </w:rPr>
        <w:t xml:space="preserve"> preparation, evidence, and reward in action selection. Optional: Seth, </w:t>
      </w:r>
      <w:r w:rsidRPr="00DD232E">
        <w:rPr>
          <w:rFonts w:ascii="Times New Roman" w:hAnsi="Times New Roman" w:cs="Times New Roman"/>
          <w:i/>
          <w:sz w:val="24"/>
          <w:szCs w:val="24"/>
        </w:rPr>
        <w:t>Being You</w:t>
      </w:r>
      <w:r w:rsidRPr="00DD232E">
        <w:rPr>
          <w:rFonts w:ascii="Times New Roman" w:hAnsi="Times New Roman" w:cs="Times New Roman"/>
          <w:sz w:val="24"/>
          <w:szCs w:val="24"/>
        </w:rPr>
        <w:t>, ch. 11, Degrees of Freedom.</w:t>
      </w:r>
    </w:p>
    <w:p w14:paraId="22C5FF8E"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Practice</w:t>
      </w:r>
    </w:p>
    <w:p w14:paraId="20E9AEFF"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Short essays:</w:t>
      </w:r>
      <w:r w:rsidRPr="00DD232E">
        <w:rPr>
          <w:rFonts w:ascii="Times New Roman" w:hAnsi="Times New Roman" w:cs="Times New Roman"/>
          <w:sz w:val="24"/>
          <w:szCs w:val="24"/>
        </w:rPr>
        <w:t xml:space="preserve"> Distinguish determinism, physicalism, and epiphenomenalism. Explain why an automatic skilled action can still express agency.</w:t>
      </w:r>
    </w:p>
    <w:p w14:paraId="3FEB4042"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Long essay:</w:t>
      </w:r>
      <w:r w:rsidRPr="00DD232E">
        <w:rPr>
          <w:rFonts w:ascii="Times New Roman" w:hAnsi="Times New Roman" w:cs="Times New Roman"/>
          <w:sz w:val="24"/>
          <w:szCs w:val="24"/>
        </w:rPr>
        <w:t xml:space="preserve"> Does neural activity preceding reported awareness show that free will is an illusion? Present the skeptical argument, assess its premises, and explain May's positive account of agency. Give a serious objection to that account.</w:t>
      </w:r>
    </w:p>
    <w:p w14:paraId="3F0CF2BA" w14:textId="77777777" w:rsidR="00FE0925" w:rsidRPr="00DD232E" w:rsidRDefault="00000000" w:rsidP="00DD232E">
      <w:pPr>
        <w:pStyle w:val="Heading1"/>
        <w:pageBreakBefore/>
        <w:jc w:val="both"/>
        <w:rPr>
          <w:rFonts w:ascii="Times New Roman" w:hAnsi="Times New Roman" w:cs="Times New Roman"/>
          <w:sz w:val="24"/>
          <w:szCs w:val="24"/>
        </w:rPr>
      </w:pPr>
      <w:r w:rsidRPr="00DD232E">
        <w:rPr>
          <w:rFonts w:ascii="Times New Roman" w:hAnsi="Times New Roman" w:cs="Times New Roman"/>
          <w:sz w:val="24"/>
          <w:szCs w:val="24"/>
        </w:rPr>
        <w:lastRenderedPageBreak/>
        <w:t>3 The moral brain</w:t>
      </w:r>
    </w:p>
    <w:p w14:paraId="6EC89FBC"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The central question is how emotion, inference, and learning contribute to moral judgment, and what that explanation tells us about the judgment's reliability.</w:t>
      </w:r>
    </w:p>
    <w:p w14:paraId="21A4EB28"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Be able to explain and evaluate</w:t>
      </w:r>
    </w:p>
    <w:p w14:paraId="4EDE1ABF"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The trolley comparison.</w:t>
      </w:r>
      <w:r w:rsidRPr="00DD232E">
        <w:rPr>
          <w:rFonts w:ascii="Times New Roman" w:hAnsi="Times New Roman" w:cs="Times New Roman"/>
          <w:sz w:val="24"/>
          <w:szCs w:val="24"/>
        </w:rPr>
        <w:t xml:space="preserve"> Explain the switch and footbridge cases. Distinguish a psychological explanation of different responses from an ethical justification for responding differently. Several features vary between the cases, so the pair alone does not isolate a cause.</w:t>
      </w:r>
    </w:p>
    <w:p w14:paraId="39B4FA96"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Greene's proposal.</w:t>
      </w:r>
      <w:r w:rsidRPr="00DD232E">
        <w:rPr>
          <w:rFonts w:ascii="Times New Roman" w:hAnsi="Times New Roman" w:cs="Times New Roman"/>
          <w:sz w:val="24"/>
          <w:szCs w:val="24"/>
        </w:rPr>
        <w:t xml:space="preserve"> Explain the suggestion that personal harm elicits an emotional response and that approving it may involve overcoming interference. Know the broad comparison of personal moral, impersonal moral, and non-moral dilemmas, the imaging differences, and the reported response-time pattern. Assess what supports an emotional interpretation and what remains uncertain.</w:t>
      </w:r>
    </w:p>
    <w:p w14:paraId="6EFE273A"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Dual-process theory.</w:t>
      </w:r>
      <w:r w:rsidRPr="00DD232E">
        <w:rPr>
          <w:rFonts w:ascii="Times New Roman" w:hAnsi="Times New Roman" w:cs="Times New Roman"/>
          <w:sz w:val="24"/>
          <w:szCs w:val="24"/>
        </w:rPr>
        <w:t xml:space="preserve"> Explain the proposed contrast between automatic intuitive responses and more deliberate processing. A process and an ethical theory are different kinds of thing. A particular sacrificial judgment does not establish a person's general ethical theory.</w:t>
      </w:r>
    </w:p>
    <w:p w14:paraId="2733DB00"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Reason, emotion, and inference.</w:t>
      </w:r>
      <w:r w:rsidRPr="00DD232E">
        <w:rPr>
          <w:rFonts w:ascii="Times New Roman" w:hAnsi="Times New Roman" w:cs="Times New Roman"/>
          <w:sz w:val="24"/>
          <w:szCs w:val="24"/>
        </w:rPr>
        <w:t xml:space="preserve"> Contrast rationalist and sentimentalist views of moral judgment. Explain May's challenge to a sharp divide: affect can guide learning and attention, and inference can occur automatically. Fast or emotional judgments can be reasonable. Deliberation can rationalize a mistake. Use the somatic marker hypothesis as an example.</w:t>
      </w:r>
    </w:p>
    <w:p w14:paraId="0B655D4E"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Debunking arguments.</w:t>
      </w:r>
      <w:r w:rsidRPr="00DD232E">
        <w:rPr>
          <w:rFonts w:ascii="Times New Roman" w:hAnsi="Times New Roman" w:cs="Times New Roman"/>
          <w:sz w:val="24"/>
          <w:szCs w:val="24"/>
        </w:rPr>
        <w:t xml:space="preserve"> Reconstruct the argument that a belief arises through a process, that the process is unreliable, and that the belief therefore loses justification absent an adequate independent basis. Explain what evidence supports each premise. Simply identifying an emotional or neural origin does not establish unreliability.</w:t>
      </w:r>
    </w:p>
    <w:p w14:paraId="4AB925B1"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Moral capacities and shared circuits.</w:t>
      </w:r>
      <w:r w:rsidRPr="00DD232E">
        <w:rPr>
          <w:rFonts w:ascii="Times New Roman" w:hAnsi="Times New Roman" w:cs="Times New Roman"/>
          <w:sz w:val="24"/>
          <w:szCs w:val="24"/>
        </w:rPr>
        <w:t xml:space="preserve"> Explain how moral judgment can depend on capacities also used elsewhere, including understanding intentions, learning from harm, and regulating action. A distinctively moral task need not require a dedicated moral module.</w:t>
      </w:r>
    </w:p>
    <w:p w14:paraId="3BE7E585"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The ethical conclusion to assess</w:t>
      </w:r>
    </w:p>
    <w:p w14:paraId="4A5D0093"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Keep Greene's 2001 experimental findings separate from the broader philosophical argument favoring some consequentialist judgments. Explain May's reply that familiar moral distinctions can operate within unusual stories and that the reliability of the actual processes needs comparison. Likewise, a majority preference about autonomous vehicles needs a further premise before it becomes a justified design rule.</w:t>
      </w:r>
    </w:p>
    <w:p w14:paraId="6CEBD866"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Slides and readings</w:t>
      </w:r>
    </w:p>
    <w:p w14:paraId="2ED9A875"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7, Moral Judgment:</w:t>
      </w:r>
      <w:r w:rsidRPr="00DD232E">
        <w:rPr>
          <w:rFonts w:ascii="Times New Roman" w:hAnsi="Times New Roman" w:cs="Times New Roman"/>
          <w:sz w:val="24"/>
          <w:szCs w:val="24"/>
        </w:rPr>
        <w:t xml:space="preserve"> slides 2-5 for the puzzle and hypothesis; 6-11 for the experiment and its limits; 12-13 for affect and shared capacities. The optional continuation, slides 17-18, develops the ethical inference and debunking dispute.</w:t>
      </w:r>
    </w:p>
    <w:p w14:paraId="6F205D74"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May, ch. 6, pp. 149-173:</w:t>
      </w:r>
      <w:r w:rsidRPr="00DD232E">
        <w:rPr>
          <w:rFonts w:ascii="Times New Roman" w:hAnsi="Times New Roman" w:cs="Times New Roman"/>
          <w:sz w:val="24"/>
          <w:szCs w:val="24"/>
        </w:rPr>
        <w:t xml:space="preserve"> pp. 153-161 on affect and inference; p. 162 on debunking; pp. 163-168 on sacrificial dilemmas and dual-process theory; pp. 169-173 on reliability.</w:t>
      </w:r>
    </w:p>
    <w:p w14:paraId="47AE19E2"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Greene et al., An fMRI Investigation of Emotional Engagement in Moral Judgment:</w:t>
      </w:r>
      <w:r w:rsidRPr="00DD232E">
        <w:rPr>
          <w:rFonts w:ascii="Times New Roman" w:hAnsi="Times New Roman" w:cs="Times New Roman"/>
          <w:sz w:val="24"/>
          <w:szCs w:val="24"/>
        </w:rPr>
        <w:t xml:space="preserve"> pp. 2105-2108. </w:t>
      </w:r>
      <w:r w:rsidRPr="00DD232E">
        <w:rPr>
          <w:rFonts w:ascii="Times New Roman" w:hAnsi="Times New Roman" w:cs="Times New Roman"/>
          <w:b/>
          <w:sz w:val="24"/>
          <w:szCs w:val="24"/>
        </w:rPr>
        <w:t>PCN, ch. 10, pp. 340-345:</w:t>
      </w:r>
      <w:r w:rsidRPr="00DD232E">
        <w:rPr>
          <w:rFonts w:ascii="Times New Roman" w:hAnsi="Times New Roman" w:cs="Times New Roman"/>
          <w:sz w:val="24"/>
          <w:szCs w:val="24"/>
        </w:rPr>
        <w:t xml:space="preserve"> especially pp. 341-343 on somatic markers.</w:t>
      </w:r>
    </w:p>
    <w:p w14:paraId="7D23DEC5"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sz w:val="24"/>
          <w:szCs w:val="24"/>
        </w:rPr>
        <w:t xml:space="preserve">Optional: </w:t>
      </w:r>
      <w:r w:rsidRPr="00DD232E">
        <w:rPr>
          <w:rFonts w:ascii="Times New Roman" w:hAnsi="Times New Roman" w:cs="Times New Roman"/>
          <w:b/>
          <w:sz w:val="24"/>
          <w:szCs w:val="24"/>
        </w:rPr>
        <w:t>Crockett, Models of Morality</w:t>
      </w:r>
      <w:r w:rsidRPr="00DD232E">
        <w:rPr>
          <w:rFonts w:ascii="Times New Roman" w:hAnsi="Times New Roman" w:cs="Times New Roman"/>
          <w:sz w:val="24"/>
          <w:szCs w:val="24"/>
        </w:rPr>
        <w:t>, and Session 7, slide 21, on model-based, model-free, and Pavlovian processes. Study these as an extension if discussed in class.</w:t>
      </w:r>
    </w:p>
    <w:p w14:paraId="64262C71"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Practice</w:t>
      </w:r>
    </w:p>
    <w:p w14:paraId="2783D513"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Short essay:</w:t>
      </w:r>
      <w:r w:rsidRPr="00DD232E">
        <w:rPr>
          <w:rFonts w:ascii="Times New Roman" w:hAnsi="Times New Roman" w:cs="Times New Roman"/>
          <w:sz w:val="24"/>
          <w:szCs w:val="24"/>
        </w:rPr>
        <w:t xml:space="preserve"> What is the difference between explaining a moral intuition and debunking it?</w:t>
      </w:r>
    </w:p>
    <w:p w14:paraId="07921492"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lastRenderedPageBreak/>
        <w:t>Long essay:</w:t>
      </w:r>
      <w:r w:rsidRPr="00DD232E">
        <w:rPr>
          <w:rFonts w:ascii="Times New Roman" w:hAnsi="Times New Roman" w:cs="Times New Roman"/>
          <w:sz w:val="24"/>
          <w:szCs w:val="24"/>
        </w:rPr>
        <w:t xml:space="preserve"> Does evidence that emotion influences moral judgment give us reason to distrust that judgment? Explain Greene's proposal and May's response. Identify what would establish unreliability and whether reflective reasoning provides a better alternative.</w:t>
      </w:r>
    </w:p>
    <w:p w14:paraId="0A2BD047" w14:textId="77777777" w:rsidR="00FE0925" w:rsidRPr="00DD232E" w:rsidRDefault="00000000" w:rsidP="00DD232E">
      <w:pPr>
        <w:pStyle w:val="Heading1"/>
        <w:pageBreakBefore/>
        <w:jc w:val="both"/>
        <w:rPr>
          <w:rFonts w:ascii="Times New Roman" w:hAnsi="Times New Roman" w:cs="Times New Roman"/>
          <w:sz w:val="24"/>
          <w:szCs w:val="24"/>
        </w:rPr>
      </w:pPr>
      <w:r w:rsidRPr="00DD232E">
        <w:rPr>
          <w:rFonts w:ascii="Times New Roman" w:hAnsi="Times New Roman" w:cs="Times New Roman"/>
          <w:sz w:val="24"/>
          <w:szCs w:val="24"/>
        </w:rPr>
        <w:lastRenderedPageBreak/>
        <w:t>4 Addiction</w:t>
      </w:r>
    </w:p>
    <w:p w14:paraId="4DE1DFDA"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Explaining continued use</w:t>
      </w:r>
    </w:p>
    <w:p w14:paraId="6D55808A"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The central puzzle is why use persists despite serious costs. Separate that pattern from a theory about its cause and from a judgment about how to respond to the person.</w:t>
      </w:r>
    </w:p>
    <w:p w14:paraId="04311FE1"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Be able to explain and compare</w:t>
      </w:r>
    </w:p>
    <w:p w14:paraId="6BA0A3DF"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Craving, dependence, and addiction.</w:t>
      </w:r>
      <w:r w:rsidRPr="00DD232E">
        <w:rPr>
          <w:rFonts w:ascii="Times New Roman" w:hAnsi="Times New Roman" w:cs="Times New Roman"/>
          <w:sz w:val="24"/>
          <w:szCs w:val="24"/>
        </w:rPr>
        <w:t xml:space="preserve"> Craving is a desire to use. Physical dependence involves adaptation and possible withdrawal. Pickard's explanatory target is persistent use despite evident, severe costs to the person's own good. Explain why dependence or strong desire alone need not establish addiction.</w:t>
      </w:r>
    </w:p>
    <w:p w14:paraId="0CBB9781"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Wanting and liking.</w:t>
      </w:r>
      <w:r w:rsidRPr="00DD232E">
        <w:rPr>
          <w:rFonts w:ascii="Times New Roman" w:hAnsi="Times New Roman" w:cs="Times New Roman"/>
          <w:sz w:val="24"/>
          <w:szCs w:val="24"/>
        </w:rPr>
        <w:t xml:space="preserve"> Motivation to obtain a drug can differ from enjoyment of it. Pleasure, relief from distress, and learned cues can reinforce use. Explaining these processes does not yet establish that intentional control has disappeared.</w:t>
      </w:r>
    </w:p>
    <w:p w14:paraId="13AFDC26"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Compulsion and impaired control.</w:t>
      </w:r>
      <w:r w:rsidRPr="00DD232E">
        <w:rPr>
          <w:rFonts w:ascii="Times New Roman" w:hAnsi="Times New Roman" w:cs="Times New Roman"/>
          <w:sz w:val="24"/>
          <w:szCs w:val="24"/>
        </w:rPr>
        <w:t xml:space="preserve"> Distinguish being unable to refrain from finding refusal very difficult. Evidence that people sometimes deliberately refrain challenges a universal irresistibility claim. It leaves questions about degree of impairment, actual circumstances, and sustained recovery.</w:t>
      </w:r>
    </w:p>
    <w:p w14:paraId="5C9D5EB1"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Habit and goal-directed action.</w:t>
      </w:r>
      <w:r w:rsidRPr="00DD232E">
        <w:rPr>
          <w:rFonts w:ascii="Times New Roman" w:hAnsi="Times New Roman" w:cs="Times New Roman"/>
          <w:sz w:val="24"/>
          <w:szCs w:val="24"/>
        </w:rPr>
        <w:t xml:space="preserve"> In the technical learning-theory sense, habitual responding is relatively insensitive to an outcome's current value. Goal-directed action responds to the expected outcome and its value. Goal-directed use can still be harmful and difficult to change. Explain how outcome devaluation tests the distinction at a broad level.</w:t>
      </w:r>
    </w:p>
    <w:p w14:paraId="1C4691AE"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Learning and valuation.</w:t>
      </w:r>
      <w:r w:rsidRPr="00DD232E">
        <w:rPr>
          <w:rFonts w:ascii="Times New Roman" w:hAnsi="Times New Roman" w:cs="Times New Roman"/>
          <w:sz w:val="24"/>
          <w:szCs w:val="24"/>
        </w:rPr>
        <w:t xml:space="preserve"> Explain reward prediction error as sensitivity to outcomes relative to expectations. Sripada's common-currency account explains comparison among different goods through subjective value. Value can also guide competition between strategies, including whether planning merits its effort. Decision value concerns situational attractiveness; it does not establish the person's overall good.</w:t>
      </w:r>
    </w:p>
    <w:p w14:paraId="5A4F90D5"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Models and their burdens</w:t>
      </w:r>
    </w:p>
    <w:p w14:paraId="3974264D"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Brain disease:</w:t>
      </w:r>
      <w:r w:rsidRPr="00DD232E">
        <w:rPr>
          <w:rFonts w:ascii="Times New Roman" w:hAnsi="Times New Roman" w:cs="Times New Roman"/>
          <w:sz w:val="24"/>
          <w:szCs w:val="24"/>
        </w:rPr>
        <w:t xml:space="preserve"> distinguish the claims of disease, neural pathology, and compulsion. Brain change alone does not establish dysfunction or causal priority. A stronger disease account can allow retained choice and responsiveness to circumstances while arguing for impairment.</w:t>
      </w:r>
    </w:p>
    <w:p w14:paraId="37EE3988"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Social explanation:</w:t>
      </w:r>
      <w:r w:rsidRPr="00DD232E">
        <w:rPr>
          <w:rFonts w:ascii="Times New Roman" w:hAnsi="Times New Roman" w:cs="Times New Roman"/>
          <w:sz w:val="24"/>
          <w:szCs w:val="24"/>
        </w:rPr>
        <w:t xml:space="preserve"> conditions can shape the alternatives a person can </w:t>
      </w:r>
      <w:proofErr w:type="gramStart"/>
      <w:r w:rsidRPr="00DD232E">
        <w:rPr>
          <w:rFonts w:ascii="Times New Roman" w:hAnsi="Times New Roman" w:cs="Times New Roman"/>
          <w:sz w:val="24"/>
          <w:szCs w:val="24"/>
        </w:rPr>
        <w:t>actually obtain</w:t>
      </w:r>
      <w:proofErr w:type="gramEnd"/>
      <w:r w:rsidRPr="00DD232E">
        <w:rPr>
          <w:rFonts w:ascii="Times New Roman" w:hAnsi="Times New Roman" w:cs="Times New Roman"/>
          <w:sz w:val="24"/>
          <w:szCs w:val="24"/>
        </w:rPr>
        <w:t xml:space="preserve"> and value. Showing social influence does not by itself establish a sufficient explanation of individual differences or recovery.</w:t>
      </w:r>
    </w:p>
    <w:p w14:paraId="4921DCEA"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Pickard's psychology first:</w:t>
      </w:r>
      <w:r w:rsidRPr="00DD232E">
        <w:rPr>
          <w:rFonts w:ascii="Times New Roman" w:hAnsi="Times New Roman" w:cs="Times New Roman"/>
          <w:sz w:val="24"/>
          <w:szCs w:val="24"/>
        </w:rPr>
        <w:t xml:space="preserve"> begin with what continued use does for this person, including motives and circumstances. This starting point can incorporate neuroscience and be revised. An intelligible account still needs evidence of causal importance.</w:t>
      </w:r>
    </w:p>
    <w:p w14:paraId="3324D3ED"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May's disorder model:</w:t>
      </w:r>
      <w:r w:rsidRPr="00DD232E">
        <w:rPr>
          <w:rFonts w:ascii="Times New Roman" w:hAnsi="Times New Roman" w:cs="Times New Roman"/>
          <w:sz w:val="24"/>
          <w:szCs w:val="24"/>
        </w:rPr>
        <w:t xml:space="preserve"> recognize harmful patterns, variation in severity, and multiple possible causes. Its flexibility preserves these differences, but the label alone supplies little specific causal or treatment guidance.</w:t>
      </w:r>
    </w:p>
    <w:p w14:paraId="26E2F98D"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Slides and readings</w:t>
      </w:r>
    </w:p>
    <w:p w14:paraId="6C8C5084"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8, Addiction Craving and Control:</w:t>
      </w:r>
      <w:r w:rsidRPr="00DD232E">
        <w:rPr>
          <w:rFonts w:ascii="Times New Roman" w:hAnsi="Times New Roman" w:cs="Times New Roman"/>
          <w:sz w:val="24"/>
          <w:szCs w:val="24"/>
        </w:rPr>
        <w:t xml:space="preserve"> What Needs Explaining; Wanting and Liking; Irresistible Craving; Habit and Goal Directed Action; What Follows About Control. Pickard, Introduction, pp. 1-20, and ch. 6, pp. 81-92; PCN, ch. 14, pp. 470-476.</w:t>
      </w:r>
    </w:p>
    <w:p w14:paraId="5DF9BDEE"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9, Addiction Discussion:</w:t>
      </w:r>
      <w:r w:rsidRPr="00DD232E">
        <w:rPr>
          <w:rFonts w:ascii="Times New Roman" w:hAnsi="Times New Roman" w:cs="Times New Roman"/>
          <w:sz w:val="24"/>
          <w:szCs w:val="24"/>
        </w:rPr>
        <w:t xml:space="preserve"> control across occasions; addiction versus intense pursuit; the case for and against psychology first. </w:t>
      </w:r>
      <w:r w:rsidRPr="00DD232E">
        <w:rPr>
          <w:rFonts w:ascii="Times New Roman" w:hAnsi="Times New Roman" w:cs="Times New Roman"/>
          <w:b/>
          <w:sz w:val="24"/>
          <w:szCs w:val="24"/>
        </w:rPr>
        <w:t>May, ch. 5, pp. 119-144</w:t>
      </w:r>
      <w:r w:rsidRPr="00DD232E">
        <w:rPr>
          <w:rFonts w:ascii="Times New Roman" w:hAnsi="Times New Roman" w:cs="Times New Roman"/>
          <w:sz w:val="24"/>
          <w:szCs w:val="24"/>
        </w:rPr>
        <w:t>, especially pp. 128-138 and 141-144.</w:t>
      </w:r>
    </w:p>
    <w:p w14:paraId="50F8358B"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lastRenderedPageBreak/>
        <w:t>Session 11, Learning Choice and Recovery:</w:t>
      </w:r>
      <w:r w:rsidRPr="00DD232E">
        <w:rPr>
          <w:rFonts w:ascii="Times New Roman" w:hAnsi="Times New Roman" w:cs="Times New Roman"/>
          <w:sz w:val="24"/>
          <w:szCs w:val="24"/>
        </w:rPr>
        <w:t xml:space="preserve"> learning, remission, study design, and common currency. </w:t>
      </w:r>
      <w:r w:rsidRPr="00DD232E">
        <w:rPr>
          <w:rFonts w:ascii="Times New Roman" w:hAnsi="Times New Roman" w:cs="Times New Roman"/>
          <w:b/>
          <w:sz w:val="24"/>
          <w:szCs w:val="24"/>
        </w:rPr>
        <w:t>Heyman</w:t>
      </w:r>
      <w:r w:rsidRPr="00DD232E">
        <w:rPr>
          <w:rFonts w:ascii="Times New Roman" w:hAnsi="Times New Roman" w:cs="Times New Roman"/>
          <w:sz w:val="24"/>
          <w:szCs w:val="24"/>
        </w:rPr>
        <w:t xml:space="preserve">, especially PDF pp. 2-11; </w:t>
      </w:r>
      <w:r w:rsidRPr="00DD232E">
        <w:rPr>
          <w:rFonts w:ascii="Times New Roman" w:hAnsi="Times New Roman" w:cs="Times New Roman"/>
          <w:b/>
          <w:sz w:val="24"/>
          <w:szCs w:val="24"/>
        </w:rPr>
        <w:t>Sripada</w:t>
      </w:r>
      <w:r w:rsidRPr="00DD232E">
        <w:rPr>
          <w:rFonts w:ascii="Times New Roman" w:hAnsi="Times New Roman" w:cs="Times New Roman"/>
          <w:sz w:val="24"/>
          <w:szCs w:val="24"/>
        </w:rPr>
        <w:t xml:space="preserve">, opening theses and PDF pp. 12-20; </w:t>
      </w:r>
      <w:r w:rsidRPr="00DD232E">
        <w:rPr>
          <w:rFonts w:ascii="Times New Roman" w:hAnsi="Times New Roman" w:cs="Times New Roman"/>
          <w:b/>
          <w:sz w:val="24"/>
          <w:szCs w:val="24"/>
        </w:rPr>
        <w:t>Neuro6</w:t>
      </w:r>
      <w:r w:rsidRPr="00DD232E">
        <w:rPr>
          <w:rFonts w:ascii="Times New Roman" w:hAnsi="Times New Roman" w:cs="Times New Roman"/>
          <w:sz w:val="24"/>
          <w:szCs w:val="24"/>
        </w:rPr>
        <w:t>, pp. 718-721. Optional: Pickard, ch. 8, pp. 101-111.</w:t>
      </w:r>
    </w:p>
    <w:p w14:paraId="5D2AE66B"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12, Models of Addiction:</w:t>
      </w:r>
      <w:r w:rsidRPr="00DD232E">
        <w:rPr>
          <w:rFonts w:ascii="Times New Roman" w:hAnsi="Times New Roman" w:cs="Times New Roman"/>
          <w:sz w:val="24"/>
          <w:szCs w:val="24"/>
        </w:rPr>
        <w:t xml:space="preserve"> slides 3-10 on brain disease; 11-15 on social and psychological accounts; 16-18 on May's model and responsibility. Some objections are classroom reconstructions rather than additional required readings.</w:t>
      </w:r>
    </w:p>
    <w:p w14:paraId="51D6774E" w14:textId="77777777" w:rsidR="00FE0925" w:rsidRPr="00DD232E" w:rsidRDefault="00000000" w:rsidP="00DD232E">
      <w:pPr>
        <w:pStyle w:val="Heading1"/>
        <w:pageBreakBefore/>
        <w:jc w:val="both"/>
        <w:rPr>
          <w:rFonts w:ascii="Times New Roman" w:hAnsi="Times New Roman" w:cs="Times New Roman"/>
          <w:sz w:val="24"/>
          <w:szCs w:val="24"/>
        </w:rPr>
      </w:pPr>
      <w:r w:rsidRPr="00DD232E">
        <w:rPr>
          <w:rFonts w:ascii="Times New Roman" w:hAnsi="Times New Roman" w:cs="Times New Roman"/>
          <w:sz w:val="24"/>
          <w:szCs w:val="24"/>
        </w:rPr>
        <w:lastRenderedPageBreak/>
        <w:t>Addiction and responsibility</w:t>
      </w:r>
    </w:p>
    <w:p w14:paraId="2BABBC69"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Showing that a person has some agency leaves open what they can reasonably be expected to do and how others should respond. Connect the explanations on the previous page to the person's knowledge, opportunities, and obligations.</w:t>
      </w:r>
    </w:p>
    <w:p w14:paraId="7667D026"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Be able to explain and apply</w:t>
      </w:r>
    </w:p>
    <w:p w14:paraId="07A93101"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Control on an occasion and control over a pattern.</w:t>
      </w:r>
      <w:r w:rsidRPr="00DD232E">
        <w:rPr>
          <w:rFonts w:ascii="Times New Roman" w:hAnsi="Times New Roman" w:cs="Times New Roman"/>
          <w:sz w:val="24"/>
          <w:szCs w:val="24"/>
        </w:rPr>
        <w:t xml:space="preserve"> Turning down one drink can show a capacity under </w:t>
      </w:r>
      <w:proofErr w:type="gramStart"/>
      <w:r w:rsidRPr="00DD232E">
        <w:rPr>
          <w:rFonts w:ascii="Times New Roman" w:hAnsi="Times New Roman" w:cs="Times New Roman"/>
          <w:sz w:val="24"/>
          <w:szCs w:val="24"/>
        </w:rPr>
        <w:t>particular conditions</w:t>
      </w:r>
      <w:proofErr w:type="gramEnd"/>
      <w:r w:rsidRPr="00DD232E">
        <w:rPr>
          <w:rFonts w:ascii="Times New Roman" w:hAnsi="Times New Roman" w:cs="Times New Roman"/>
          <w:sz w:val="24"/>
          <w:szCs w:val="24"/>
        </w:rPr>
        <w:t>. It does not by itself establish reliable control across repeated cravings, withdrawal, or limited alternatives. Explain why difficulty matters even when action is possible.</w:t>
      </w:r>
    </w:p>
    <w:p w14:paraId="00C995C2"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Values and a person's good.</w:t>
      </w:r>
      <w:r w:rsidRPr="00DD232E">
        <w:rPr>
          <w:rFonts w:ascii="Times New Roman" w:hAnsi="Times New Roman" w:cs="Times New Roman"/>
          <w:sz w:val="24"/>
          <w:szCs w:val="24"/>
        </w:rPr>
        <w:t xml:space="preserve"> Distinguish professed values, actual values, and well-being. Wanting to use can differ from endorsing that desire. Endorsement can also differ from what is good for the person. Explain Pickard's reasons for giving self-determination weight and her presumption that people ordinarily decide how to lead their own lives.</w:t>
      </w:r>
    </w:p>
    <w:p w14:paraId="5082F543"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Changing values.</w:t>
      </w:r>
      <w:r w:rsidRPr="00DD232E">
        <w:rPr>
          <w:rFonts w:ascii="Times New Roman" w:hAnsi="Times New Roman" w:cs="Times New Roman"/>
          <w:sz w:val="24"/>
          <w:szCs w:val="24"/>
        </w:rPr>
        <w:t xml:space="preserve"> If addiction changes what someone values, why should their earlier self automatically have priority? Conversely, why should current endorsement settle the question? Explain what evidence of denial or failure to grasp consequences could matter.</w:t>
      </w:r>
    </w:p>
    <w:p w14:paraId="4B07F79D"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Responsibility and active blame.</w:t>
      </w:r>
      <w:r w:rsidRPr="00DD232E">
        <w:rPr>
          <w:rFonts w:ascii="Times New Roman" w:hAnsi="Times New Roman" w:cs="Times New Roman"/>
          <w:sz w:val="24"/>
          <w:szCs w:val="24"/>
        </w:rPr>
        <w:t xml:space="preserve"> Responsibility concerns relevant understanding and voluntary control. Active blame concerns a punishing attitude toward the person. Pickard's proposal permits accountability, repair, and support without hostile blame. It need not deny wrongdoing or every judgment of blameworthiness.</w:t>
      </w:r>
    </w:p>
    <w:p w14:paraId="0BB31309"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Reasonable expectations.</w:t>
      </w:r>
      <w:r w:rsidRPr="00DD232E">
        <w:rPr>
          <w:rFonts w:ascii="Times New Roman" w:hAnsi="Times New Roman" w:cs="Times New Roman"/>
          <w:sz w:val="24"/>
          <w:szCs w:val="24"/>
        </w:rPr>
        <w:t xml:space="preserve"> Assess what the person owes others, the costs of acting differently, and the support available. Distinguish an offer of help, a protective boundary, and overriding a refusal. Each needs an argument appropriate to the relationship and the action.</w:t>
      </w:r>
    </w:p>
    <w:p w14:paraId="6FEE014E"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Social responsibility.</w:t>
      </w:r>
      <w:r w:rsidRPr="00DD232E">
        <w:rPr>
          <w:rFonts w:ascii="Times New Roman" w:hAnsi="Times New Roman" w:cs="Times New Roman"/>
          <w:sz w:val="24"/>
          <w:szCs w:val="24"/>
        </w:rPr>
        <w:t xml:space="preserve"> Ask who can make effective alternatives accessible and who has duties to do so. A person's agency can coexist with responsibilities belonging to friends, institutions, and others.</w:t>
      </w:r>
    </w:p>
    <w:p w14:paraId="18B500A7"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Evidence to handle carefully</w:t>
      </w:r>
    </w:p>
    <w:p w14:paraId="72E6CF1F"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Know how changing alternatives or incentives can provide evidence of retained control. Explain why animal findings need care when applied to a particular human life. Heyman's remission evidence challenges a simple picture of inevitable lifelong persistence. Treatment-history comparisons also leave selection and other differences between groups unresolved. They do not independently show that treatment is ineffective. Recovery and responsiveness can coexist with serious impairment.</w:t>
      </w:r>
    </w:p>
    <w:p w14:paraId="1BA4CAE8"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Slides and readings</w:t>
      </w:r>
    </w:p>
    <w:p w14:paraId="1C08D650"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9:</w:t>
      </w:r>
      <w:r w:rsidRPr="00DD232E">
        <w:rPr>
          <w:rFonts w:ascii="Times New Roman" w:hAnsi="Times New Roman" w:cs="Times New Roman"/>
          <w:sz w:val="24"/>
          <w:szCs w:val="24"/>
        </w:rPr>
        <w:t xml:space="preserve"> How Much Control Can We Establish and What Is the Person Responsible For.</w:t>
      </w:r>
    </w:p>
    <w:p w14:paraId="1A127F1A"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10, Responsibility Without Blame:</w:t>
      </w:r>
      <w:r w:rsidRPr="00DD232E">
        <w:rPr>
          <w:rFonts w:ascii="Times New Roman" w:hAnsi="Times New Roman" w:cs="Times New Roman"/>
          <w:sz w:val="24"/>
          <w:szCs w:val="24"/>
        </w:rPr>
        <w:t xml:space="preserve"> slides 2-7 on values and intervention; 8-9 on the rescue-blame trap and active blame; 10-15 on obligations, costs, support, and boundaries.</w:t>
      </w:r>
    </w:p>
    <w:p w14:paraId="52A2B939"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Pickard, ch. 4, pp. 48-61, and ch. 19, pp. 251-269.</w:t>
      </w:r>
      <w:r w:rsidRPr="00DD232E">
        <w:rPr>
          <w:rFonts w:ascii="Times New Roman" w:hAnsi="Times New Roman" w:cs="Times New Roman"/>
          <w:sz w:val="24"/>
          <w:szCs w:val="24"/>
        </w:rPr>
        <w:t xml:space="preserve"> Optional background: chs. 16-18, pp. 217-250. The distinctions developed in class are explained in the Session 10 slides.</w:t>
      </w:r>
    </w:p>
    <w:p w14:paraId="47A8A310"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Session 11:</w:t>
      </w:r>
      <w:r w:rsidRPr="00DD232E">
        <w:rPr>
          <w:rFonts w:ascii="Times New Roman" w:hAnsi="Times New Roman" w:cs="Times New Roman"/>
          <w:sz w:val="24"/>
          <w:szCs w:val="24"/>
        </w:rPr>
        <w:t xml:space="preserve"> Study Design Changes the Inference; Control in Particular Circumstances; Responsibility and the Person's Good. </w:t>
      </w:r>
      <w:r w:rsidRPr="00DD232E">
        <w:rPr>
          <w:rFonts w:ascii="Times New Roman" w:hAnsi="Times New Roman" w:cs="Times New Roman"/>
          <w:b/>
          <w:sz w:val="24"/>
          <w:szCs w:val="24"/>
        </w:rPr>
        <w:t>May</w:t>
      </w:r>
      <w:r w:rsidRPr="00DD232E">
        <w:rPr>
          <w:rFonts w:ascii="Times New Roman" w:hAnsi="Times New Roman" w:cs="Times New Roman"/>
          <w:sz w:val="24"/>
          <w:szCs w:val="24"/>
        </w:rPr>
        <w:t>, pp. 128-133 and 141-144.</w:t>
      </w:r>
    </w:p>
    <w:p w14:paraId="2B84711C"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Practice</w:t>
      </w:r>
    </w:p>
    <w:p w14:paraId="12F3FFEA"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Short essays:</w:t>
      </w:r>
      <w:r w:rsidRPr="00DD232E">
        <w:rPr>
          <w:rFonts w:ascii="Times New Roman" w:hAnsi="Times New Roman" w:cs="Times New Roman"/>
          <w:sz w:val="24"/>
          <w:szCs w:val="24"/>
        </w:rPr>
        <w:t xml:space="preserve"> Why does evidence of choice fail to settle the disease question? What does responsibility without active blame permit us to ask of someone?</w:t>
      </w:r>
    </w:p>
    <w:p w14:paraId="35AD6516"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Long essays:</w:t>
      </w:r>
      <w:r w:rsidRPr="00DD232E">
        <w:rPr>
          <w:rFonts w:ascii="Times New Roman" w:hAnsi="Times New Roman" w:cs="Times New Roman"/>
          <w:sz w:val="24"/>
          <w:szCs w:val="24"/>
        </w:rPr>
        <w:t xml:space="preserve"> Compare the strongest brain-disease and psychology-first accounts. Give an objection and reply for each. Alternatively, assess what Jordan's colleague may demand after Jordan misses a shift. Consider control, costs, obligations, support, and boundaries.</w:t>
      </w:r>
    </w:p>
    <w:p w14:paraId="580BD5DB" w14:textId="77777777" w:rsidR="00FE0925" w:rsidRPr="00DD232E" w:rsidRDefault="00000000" w:rsidP="00DD232E">
      <w:pPr>
        <w:pStyle w:val="Heading1"/>
        <w:pageBreakBefore/>
        <w:jc w:val="both"/>
        <w:rPr>
          <w:rFonts w:ascii="Times New Roman" w:hAnsi="Times New Roman" w:cs="Times New Roman"/>
          <w:sz w:val="24"/>
          <w:szCs w:val="24"/>
        </w:rPr>
      </w:pPr>
      <w:r w:rsidRPr="00DD232E">
        <w:rPr>
          <w:rFonts w:ascii="Times New Roman" w:hAnsi="Times New Roman" w:cs="Times New Roman"/>
          <w:sz w:val="24"/>
          <w:szCs w:val="24"/>
        </w:rPr>
        <w:lastRenderedPageBreak/>
        <w:t>5 Psychedelics</w:t>
      </w:r>
    </w:p>
    <w:p w14:paraId="59181CBB"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The central question is whether psychedelic therapy can improve a person's life through a valuable change in understanding, and how to assess that change when the experience feels revelatory.</w:t>
      </w:r>
    </w:p>
    <w:p w14:paraId="0D131A89"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Be able to explain and evaluate</w:t>
      </w:r>
    </w:p>
    <w:p w14:paraId="30EDC320"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Therapy and context.</w:t>
      </w:r>
      <w:r w:rsidRPr="00DD232E">
        <w:rPr>
          <w:rFonts w:ascii="Times New Roman" w:hAnsi="Times New Roman" w:cs="Times New Roman"/>
          <w:sz w:val="24"/>
          <w:szCs w:val="24"/>
        </w:rPr>
        <w:t xml:space="preserve"> Understand the roles of preparation, supported experience, and integration. Evidence of sustained symptom improvement gives reason to investigate therapy while leaving questions about which features cause the improvement.</w:t>
      </w:r>
    </w:p>
    <w:p w14:paraId="2C6375CC"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Experience, interpretation, and belief.</w:t>
      </w:r>
      <w:r w:rsidRPr="00DD232E">
        <w:rPr>
          <w:rFonts w:ascii="Times New Roman" w:hAnsi="Times New Roman" w:cs="Times New Roman"/>
          <w:sz w:val="24"/>
          <w:szCs w:val="24"/>
        </w:rPr>
        <w:t xml:space="preserve"> A changed sense of self is an experience. Interpreting it as contact with a larger consciousness is a further step. Believing consciousness survives bodily death is another. Noetic quality is the feeling of knowing; felt certainty requires separate evaluation of justification.</w:t>
      </w:r>
    </w:p>
    <w:p w14:paraId="7EAADE69"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The comforting-delusion objection.</w:t>
      </w:r>
      <w:r w:rsidRPr="00DD232E">
        <w:rPr>
          <w:rFonts w:ascii="Times New Roman" w:hAnsi="Times New Roman" w:cs="Times New Roman"/>
          <w:sz w:val="24"/>
          <w:szCs w:val="24"/>
        </w:rPr>
        <w:t xml:space="preserve"> Reconstruct the argument: naturalism is true; under naturalism, psychedelic therapy has a poor overall epistemic profile; that poor profile gives a reason for caution. Identify the disputed premise. The objection concerns epistemic costs and need not allege a clinical delusion.</w:t>
      </w:r>
    </w:p>
    <w:p w14:paraId="7C235109"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The competing replies.</w:t>
      </w:r>
      <w:r w:rsidRPr="00DD232E">
        <w:rPr>
          <w:rFonts w:ascii="Times New Roman" w:hAnsi="Times New Roman" w:cs="Times New Roman"/>
          <w:sz w:val="24"/>
          <w:szCs w:val="24"/>
        </w:rPr>
        <w:t xml:space="preserve"> Metaphysical disclosure rejects naturalism and treats the revelation as genuine. Benefit despite falsity gives relief greater weight despite epistemic costs. Epistemic caution accepts a reason for hesitation. Letheby's naturalistic reply challenges the claim that the overall epistemic profile is poor: benefit need not depend on false metaphysical belief.</w:t>
      </w:r>
    </w:p>
    <w:p w14:paraId="71E8BFE0"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Self-understanding and insight.</w:t>
      </w:r>
      <w:r w:rsidRPr="00DD232E">
        <w:rPr>
          <w:rFonts w:ascii="Times New Roman" w:hAnsi="Times New Roman" w:cs="Times New Roman"/>
          <w:sz w:val="24"/>
          <w:szCs w:val="24"/>
        </w:rPr>
        <w:t xml:space="preserve"> Explain how loosening an entrenched self-model might make alternatives available. Distinguish discovering a candidate insight from establishing its truth. A useful explanation of one's past could still be a mistaken placebo insight.</w:t>
      </w:r>
    </w:p>
    <w:p w14:paraId="0915ED17"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Epistemic innocence.</w:t>
      </w:r>
      <w:r w:rsidRPr="00DD232E">
        <w:rPr>
          <w:rFonts w:ascii="Times New Roman" w:hAnsi="Times New Roman" w:cs="Times New Roman"/>
          <w:sz w:val="24"/>
          <w:szCs w:val="24"/>
        </w:rPr>
        <w:t xml:space="preserve"> Explain the two conditions: a significant epistemic benefit and no available alternative, at that time, providing the same benefit with fewer epistemic costs. Therapeutic relief alone does not meet the first condition. Assess Letheby's argument for meeting both.</w:t>
      </w:r>
    </w:p>
    <w:p w14:paraId="29353072"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b/>
          <w:sz w:val="24"/>
          <w:szCs w:val="24"/>
        </w:rPr>
        <w:t>Plasticity and durable change.</w:t>
      </w:r>
      <w:r w:rsidRPr="00DD232E">
        <w:rPr>
          <w:rFonts w:ascii="Times New Roman" w:hAnsi="Times New Roman" w:cs="Times New Roman"/>
          <w:sz w:val="24"/>
          <w:szCs w:val="24"/>
        </w:rPr>
        <w:t xml:space="preserve"> A brief event can produce lasting changes in responsiveness. Plasticity enables change without establishing that the change is beneficial or justified. The general synaptic-plasticity example in class is not itself evidence about psychedelic therapy.</w:t>
      </w:r>
    </w:p>
    <w:p w14:paraId="78905BE1"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Slides and readings</w:t>
      </w:r>
    </w:p>
    <w:p w14:paraId="5521B81B"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Psychedelics I, Treatment Insight and Illusion:</w:t>
      </w:r>
      <w:r w:rsidRPr="00DD232E">
        <w:rPr>
          <w:rFonts w:ascii="Times New Roman" w:hAnsi="Times New Roman" w:cs="Times New Roman"/>
          <w:sz w:val="24"/>
          <w:szCs w:val="24"/>
        </w:rPr>
        <w:t xml:space="preserve"> slides 3-6 on intervention, experience, and causal inference; 7-9 on the objection and replies; 10-12 on plasticity, insight, and epistemic innocence; 13-14 on patient values and evaluation.</w:t>
      </w:r>
    </w:p>
    <w:p w14:paraId="09A0B6E8"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Letheby, ch. 2, pp. 8-38:</w:t>
      </w:r>
      <w:r w:rsidRPr="00DD232E">
        <w:rPr>
          <w:rFonts w:ascii="Times New Roman" w:hAnsi="Times New Roman" w:cs="Times New Roman"/>
          <w:sz w:val="24"/>
          <w:szCs w:val="24"/>
        </w:rPr>
        <w:t xml:space="preserve"> especially §§2.4-2.5 on experience and the comforting-delusion objection. </w:t>
      </w:r>
      <w:r w:rsidRPr="00DD232E">
        <w:rPr>
          <w:rFonts w:ascii="Times New Roman" w:hAnsi="Times New Roman" w:cs="Times New Roman"/>
          <w:b/>
          <w:sz w:val="24"/>
          <w:szCs w:val="24"/>
        </w:rPr>
        <w:t>Ch. 3, pp. 39-53:</w:t>
      </w:r>
      <w:r w:rsidRPr="00DD232E">
        <w:rPr>
          <w:rFonts w:ascii="Times New Roman" w:hAnsi="Times New Roman" w:cs="Times New Roman"/>
          <w:sz w:val="24"/>
          <w:szCs w:val="24"/>
        </w:rPr>
        <w:t xml:space="preserve"> especially §3.3 on the experience and self-model proposal.</w:t>
      </w:r>
    </w:p>
    <w:p w14:paraId="7595A69D" w14:textId="77777777" w:rsidR="00FE0925" w:rsidRPr="00DD232E" w:rsidRDefault="00000000" w:rsidP="00DD232E">
      <w:pPr>
        <w:pStyle w:val="ListBullet"/>
        <w:spacing w:after="60" w:line="240" w:lineRule="auto"/>
        <w:jc w:val="both"/>
        <w:rPr>
          <w:rFonts w:ascii="Times New Roman" w:hAnsi="Times New Roman" w:cs="Times New Roman"/>
          <w:sz w:val="24"/>
          <w:szCs w:val="24"/>
        </w:rPr>
      </w:pPr>
      <w:r w:rsidRPr="00DD232E">
        <w:rPr>
          <w:rFonts w:ascii="Times New Roman" w:hAnsi="Times New Roman" w:cs="Times New Roman"/>
          <w:b/>
          <w:sz w:val="24"/>
          <w:szCs w:val="24"/>
        </w:rPr>
        <w:t>Letheby, ch. 8, pp. 160-172 and 194-195:</w:t>
      </w:r>
      <w:r w:rsidRPr="00DD232E">
        <w:rPr>
          <w:rFonts w:ascii="Times New Roman" w:hAnsi="Times New Roman" w:cs="Times New Roman"/>
          <w:sz w:val="24"/>
          <w:szCs w:val="24"/>
        </w:rPr>
        <w:t xml:space="preserve"> §§8.1-8.3 on epistemic benefits and insights; §8.8 on epistemic innocence. </w:t>
      </w:r>
      <w:r w:rsidRPr="00DD232E">
        <w:rPr>
          <w:rFonts w:ascii="Times New Roman" w:hAnsi="Times New Roman" w:cs="Times New Roman"/>
          <w:b/>
          <w:sz w:val="24"/>
          <w:szCs w:val="24"/>
        </w:rPr>
        <w:t>Neuro6, ch. 8, pp. 176-188:</w:t>
      </w:r>
      <w:r w:rsidRPr="00DD232E">
        <w:rPr>
          <w:rFonts w:ascii="Times New Roman" w:hAnsi="Times New Roman" w:cs="Times New Roman"/>
          <w:sz w:val="24"/>
          <w:szCs w:val="24"/>
        </w:rPr>
        <w:t xml:space="preserve"> plasticity at a conceptual level. Optional: Letheby, ch. 6, pp. 110-123.</w:t>
      </w:r>
    </w:p>
    <w:p w14:paraId="0925C80E"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Practice</w:t>
      </w:r>
    </w:p>
    <w:p w14:paraId="09786DAC"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Short essay:</w:t>
      </w:r>
      <w:r w:rsidRPr="00DD232E">
        <w:rPr>
          <w:rFonts w:ascii="Times New Roman" w:hAnsi="Times New Roman" w:cs="Times New Roman"/>
          <w:sz w:val="24"/>
          <w:szCs w:val="24"/>
        </w:rPr>
        <w:t xml:space="preserve"> Distinguish a noetic feeling, a justified insight, and a therapeutically useful belief.</w:t>
      </w:r>
    </w:p>
    <w:p w14:paraId="6C1415E1"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b/>
          <w:sz w:val="24"/>
          <w:szCs w:val="24"/>
        </w:rPr>
        <w:t>Long essay:</w:t>
      </w:r>
      <w:r w:rsidRPr="00DD232E">
        <w:rPr>
          <w:rFonts w:ascii="Times New Roman" w:hAnsi="Times New Roman" w:cs="Times New Roman"/>
          <w:sz w:val="24"/>
          <w:szCs w:val="24"/>
        </w:rPr>
        <w:t xml:space="preserve"> If psychedelic therapy reduces distress while encouraging an unsupported metaphysical belief, should we recommend it? Present the comforting-delusion objection and Letheby's reply. Consider truth, benefit, alternatives, and informed choice.</w:t>
      </w:r>
    </w:p>
    <w:p w14:paraId="599853FE" w14:textId="4F5933F3" w:rsidR="00FE0925" w:rsidRPr="00DD232E" w:rsidRDefault="00DD232E" w:rsidP="00DD232E">
      <w:pPr>
        <w:jc w:val="both"/>
        <w:rPr>
          <w:rFonts w:ascii="Times New Roman" w:hAnsi="Times New Roman" w:cs="Times New Roman"/>
          <w:sz w:val="24"/>
          <w:szCs w:val="24"/>
        </w:rPr>
      </w:pPr>
      <w:r>
        <w:rPr>
          <w:rFonts w:ascii="Times New Roman" w:hAnsi="Times New Roman" w:cs="Times New Roman"/>
          <w:b/>
          <w:sz w:val="24"/>
          <w:szCs w:val="24"/>
        </w:rPr>
        <w:t>Slides and readings to come</w:t>
      </w:r>
      <w:r w:rsidR="00000000" w:rsidRPr="00DD232E">
        <w:rPr>
          <w:rFonts w:ascii="Times New Roman" w:hAnsi="Times New Roman" w:cs="Times New Roman"/>
          <w:b/>
          <w:sz w:val="24"/>
          <w:szCs w:val="24"/>
        </w:rPr>
        <w:t>:</w:t>
      </w:r>
      <w:r w:rsidR="00000000" w:rsidRPr="00DD232E">
        <w:rPr>
          <w:rFonts w:ascii="Times New Roman" w:hAnsi="Times New Roman" w:cs="Times New Roman"/>
          <w:sz w:val="24"/>
          <w:szCs w:val="24"/>
        </w:rPr>
        <w:t xml:space="preserve"> </w:t>
      </w:r>
      <w:proofErr w:type="spellStart"/>
      <w:r w:rsidR="00000000" w:rsidRPr="00DD232E">
        <w:rPr>
          <w:rFonts w:ascii="Times New Roman" w:hAnsi="Times New Roman" w:cs="Times New Roman"/>
          <w:sz w:val="24"/>
          <w:szCs w:val="24"/>
        </w:rPr>
        <w:t>Letheby</w:t>
      </w:r>
      <w:proofErr w:type="spellEnd"/>
      <w:r w:rsidR="00000000" w:rsidRPr="00DD232E">
        <w:rPr>
          <w:rFonts w:ascii="Times New Roman" w:hAnsi="Times New Roman" w:cs="Times New Roman"/>
          <w:sz w:val="24"/>
          <w:szCs w:val="24"/>
        </w:rPr>
        <w:t xml:space="preserve">, ch. 7, pp. 124-143 and 146-152, and ch. 9, pp. 196-204, are scheduled </w:t>
      </w:r>
      <w:r>
        <w:rPr>
          <w:rFonts w:ascii="Times New Roman" w:hAnsi="Times New Roman" w:cs="Times New Roman"/>
          <w:sz w:val="24"/>
          <w:szCs w:val="24"/>
        </w:rPr>
        <w:t>for Wednesday.</w:t>
      </w:r>
    </w:p>
    <w:p w14:paraId="43DB2FD5" w14:textId="77777777" w:rsidR="00FE0925" w:rsidRPr="00DD232E" w:rsidRDefault="00000000" w:rsidP="00DD232E">
      <w:pPr>
        <w:pStyle w:val="Heading1"/>
        <w:pageBreakBefore/>
        <w:jc w:val="both"/>
        <w:rPr>
          <w:rFonts w:ascii="Times New Roman" w:hAnsi="Times New Roman" w:cs="Times New Roman"/>
          <w:sz w:val="24"/>
          <w:szCs w:val="24"/>
        </w:rPr>
      </w:pPr>
      <w:r w:rsidRPr="00DD232E">
        <w:rPr>
          <w:rFonts w:ascii="Times New Roman" w:hAnsi="Times New Roman" w:cs="Times New Roman"/>
          <w:sz w:val="24"/>
          <w:szCs w:val="24"/>
        </w:rPr>
        <w:lastRenderedPageBreak/>
        <w:t>Essay preparation across topics</w:t>
      </w:r>
    </w:p>
    <w:p w14:paraId="4AC6E22F"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Practice long essays</w:t>
      </w:r>
    </w:p>
    <w:p w14:paraId="4ADFFCD1" w14:textId="77777777" w:rsidR="00FE0925" w:rsidRPr="00DD232E" w:rsidRDefault="00000000" w:rsidP="00DD232E">
      <w:pPr>
        <w:spacing w:after="140"/>
        <w:jc w:val="both"/>
        <w:rPr>
          <w:rFonts w:ascii="Times New Roman" w:hAnsi="Times New Roman" w:cs="Times New Roman"/>
          <w:sz w:val="24"/>
          <w:szCs w:val="24"/>
        </w:rPr>
      </w:pPr>
      <w:r w:rsidRPr="00DD232E">
        <w:rPr>
          <w:rFonts w:ascii="Times New Roman" w:hAnsi="Times New Roman" w:cs="Times New Roman"/>
          <w:sz w:val="24"/>
          <w:szCs w:val="24"/>
        </w:rPr>
        <w:t xml:space="preserve">1. </w:t>
      </w:r>
      <w:r w:rsidRPr="00DD232E">
        <w:rPr>
          <w:rFonts w:ascii="Times New Roman" w:hAnsi="Times New Roman" w:cs="Times New Roman"/>
          <w:b/>
          <w:sz w:val="24"/>
          <w:szCs w:val="24"/>
        </w:rPr>
        <w:t>Neural explanation and responsibility.</w:t>
      </w:r>
      <w:r w:rsidRPr="00DD232E">
        <w:rPr>
          <w:rFonts w:ascii="Times New Roman" w:hAnsi="Times New Roman" w:cs="Times New Roman"/>
          <w:sz w:val="24"/>
          <w:szCs w:val="24"/>
        </w:rPr>
        <w:t xml:space="preserve"> Compare the free-will and addiction units. When should a neural explanation reduce responsibility? Distinguish the presence of a cause from impairment of a relevant </w:t>
      </w:r>
      <w:proofErr w:type="gramStart"/>
      <w:r w:rsidRPr="00DD232E">
        <w:rPr>
          <w:rFonts w:ascii="Times New Roman" w:hAnsi="Times New Roman" w:cs="Times New Roman"/>
          <w:sz w:val="24"/>
          <w:szCs w:val="24"/>
        </w:rPr>
        <w:t>capacity, and</w:t>
      </w:r>
      <w:proofErr w:type="gramEnd"/>
      <w:r w:rsidRPr="00DD232E">
        <w:rPr>
          <w:rFonts w:ascii="Times New Roman" w:hAnsi="Times New Roman" w:cs="Times New Roman"/>
          <w:sz w:val="24"/>
          <w:szCs w:val="24"/>
        </w:rPr>
        <w:t xml:space="preserve"> consider the person's circumstances.</w:t>
      </w:r>
    </w:p>
    <w:p w14:paraId="0DF2AC4E" w14:textId="77777777" w:rsidR="00FE0925" w:rsidRPr="00DD232E" w:rsidRDefault="00000000" w:rsidP="00DD232E">
      <w:pPr>
        <w:spacing w:after="140"/>
        <w:jc w:val="both"/>
        <w:rPr>
          <w:rFonts w:ascii="Times New Roman" w:hAnsi="Times New Roman" w:cs="Times New Roman"/>
          <w:sz w:val="24"/>
          <w:szCs w:val="24"/>
        </w:rPr>
      </w:pPr>
      <w:r w:rsidRPr="00DD232E">
        <w:rPr>
          <w:rFonts w:ascii="Times New Roman" w:hAnsi="Times New Roman" w:cs="Times New Roman"/>
          <w:sz w:val="24"/>
          <w:szCs w:val="24"/>
        </w:rPr>
        <w:t xml:space="preserve">2. </w:t>
      </w:r>
      <w:r w:rsidRPr="00DD232E">
        <w:rPr>
          <w:rFonts w:ascii="Times New Roman" w:hAnsi="Times New Roman" w:cs="Times New Roman"/>
          <w:b/>
          <w:sz w:val="24"/>
          <w:szCs w:val="24"/>
        </w:rPr>
        <w:t>Unconscious processes and agency.</w:t>
      </w:r>
      <w:r w:rsidRPr="00DD232E">
        <w:rPr>
          <w:rFonts w:ascii="Times New Roman" w:hAnsi="Times New Roman" w:cs="Times New Roman"/>
          <w:sz w:val="24"/>
          <w:szCs w:val="24"/>
        </w:rPr>
        <w:t xml:space="preserve"> Compare skilled action, intuitive moral judgment, and cue-driven drug seeking. Explain why reduced conscious supervision can have different significance in these cases. Use May's account and give an objection.</w:t>
      </w:r>
    </w:p>
    <w:p w14:paraId="31C8DFAA" w14:textId="77777777" w:rsidR="00FE0925" w:rsidRPr="00DD232E" w:rsidRDefault="00000000" w:rsidP="00DD232E">
      <w:pPr>
        <w:spacing w:after="140"/>
        <w:jc w:val="both"/>
        <w:rPr>
          <w:rFonts w:ascii="Times New Roman" w:hAnsi="Times New Roman" w:cs="Times New Roman"/>
          <w:sz w:val="24"/>
          <w:szCs w:val="24"/>
        </w:rPr>
      </w:pPr>
      <w:r w:rsidRPr="00DD232E">
        <w:rPr>
          <w:rFonts w:ascii="Times New Roman" w:hAnsi="Times New Roman" w:cs="Times New Roman"/>
          <w:sz w:val="24"/>
          <w:szCs w:val="24"/>
        </w:rPr>
        <w:t xml:space="preserve">3. </w:t>
      </w:r>
      <w:r w:rsidRPr="00DD232E">
        <w:rPr>
          <w:rFonts w:ascii="Times New Roman" w:hAnsi="Times New Roman" w:cs="Times New Roman"/>
          <w:b/>
          <w:sz w:val="24"/>
          <w:szCs w:val="24"/>
        </w:rPr>
        <w:t>Origins and justification.</w:t>
      </w:r>
      <w:r w:rsidRPr="00DD232E">
        <w:rPr>
          <w:rFonts w:ascii="Times New Roman" w:hAnsi="Times New Roman" w:cs="Times New Roman"/>
          <w:sz w:val="24"/>
          <w:szCs w:val="24"/>
        </w:rPr>
        <w:t xml:space="preserve"> Compare moral debunking with the comforting-delusion objection. What extra premise connects a causal account of a belief to a judgment about its justification? Explain why helpful consequences do not settle truth or reliability.</w:t>
      </w:r>
    </w:p>
    <w:p w14:paraId="0239407F" w14:textId="77777777" w:rsidR="00FE0925" w:rsidRPr="00DD232E" w:rsidRDefault="00000000" w:rsidP="00DD232E">
      <w:pPr>
        <w:spacing w:after="140"/>
        <w:jc w:val="both"/>
        <w:rPr>
          <w:rFonts w:ascii="Times New Roman" w:hAnsi="Times New Roman" w:cs="Times New Roman"/>
          <w:sz w:val="24"/>
          <w:szCs w:val="24"/>
        </w:rPr>
      </w:pPr>
      <w:r w:rsidRPr="00DD232E">
        <w:rPr>
          <w:rFonts w:ascii="Times New Roman" w:hAnsi="Times New Roman" w:cs="Times New Roman"/>
          <w:sz w:val="24"/>
          <w:szCs w:val="24"/>
        </w:rPr>
        <w:t xml:space="preserve">4. </w:t>
      </w:r>
      <w:r w:rsidRPr="00DD232E">
        <w:rPr>
          <w:rFonts w:ascii="Times New Roman" w:hAnsi="Times New Roman" w:cs="Times New Roman"/>
          <w:b/>
          <w:sz w:val="24"/>
          <w:szCs w:val="24"/>
        </w:rPr>
        <w:t>Autonomy and well-being.</w:t>
      </w:r>
      <w:r w:rsidRPr="00DD232E">
        <w:rPr>
          <w:rFonts w:ascii="Times New Roman" w:hAnsi="Times New Roman" w:cs="Times New Roman"/>
          <w:sz w:val="24"/>
          <w:szCs w:val="24"/>
        </w:rPr>
        <w:t xml:space="preserve"> Compare a person who endorses costly drug use with a patient who values a psychedelic experience's comforting interpretation. What weight should their values have? Explain what could justify help, boundaries, or intervention.</w:t>
      </w:r>
    </w:p>
    <w:p w14:paraId="696C0367" w14:textId="77777777" w:rsidR="00FE0925" w:rsidRPr="00DD232E" w:rsidRDefault="00000000" w:rsidP="00DD232E">
      <w:pPr>
        <w:spacing w:after="140"/>
        <w:jc w:val="both"/>
        <w:rPr>
          <w:rFonts w:ascii="Times New Roman" w:hAnsi="Times New Roman" w:cs="Times New Roman"/>
          <w:sz w:val="24"/>
          <w:szCs w:val="24"/>
        </w:rPr>
      </w:pPr>
      <w:r w:rsidRPr="00DD232E">
        <w:rPr>
          <w:rFonts w:ascii="Times New Roman" w:hAnsi="Times New Roman" w:cs="Times New Roman"/>
          <w:sz w:val="24"/>
          <w:szCs w:val="24"/>
        </w:rPr>
        <w:t xml:space="preserve">5. </w:t>
      </w:r>
      <w:r w:rsidRPr="00DD232E">
        <w:rPr>
          <w:rFonts w:ascii="Times New Roman" w:hAnsi="Times New Roman" w:cs="Times New Roman"/>
          <w:b/>
          <w:sz w:val="24"/>
          <w:szCs w:val="24"/>
        </w:rPr>
        <w:t>Changing a brain and changing a life.</w:t>
      </w:r>
      <w:r w:rsidRPr="00DD232E">
        <w:rPr>
          <w:rFonts w:ascii="Times New Roman" w:hAnsi="Times New Roman" w:cs="Times New Roman"/>
          <w:sz w:val="24"/>
          <w:szCs w:val="24"/>
        </w:rPr>
        <w:t xml:space="preserve"> Use addiction and psychedelics to explain how learning and context can produce lasting change. Discuss why brain change does not by itself establish dysfunction, improved well-being, or better understanding.</w:t>
      </w:r>
    </w:p>
    <w:p w14:paraId="6FCB7A42"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A useful structure for an answer</w:t>
      </w:r>
    </w:p>
    <w:p w14:paraId="6C1E1FC6"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Start with a direct answer to the question and define the distinction on which it depends. Reconstruct the relevant author's argument fairly, including the premises that connect evidence to the conclusion. Use a class example to show how the argument works. Then develop the strongest relevant objection and explain how a defender could reply. End by stating what your argument establishes and what remains open.</w:t>
      </w:r>
    </w:p>
    <w:p w14:paraId="5AB5DB0D"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For a short essay, focus on the requested concept or argument and make one example do useful work. For a long essay, explain the disagreement before defending your own position. Naming an author or saying that a view is controversial cannot replace an argument.</w:t>
      </w:r>
    </w:p>
    <w:p w14:paraId="0DA15FC3"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Final check before the exam</w:t>
      </w:r>
    </w:p>
    <w:p w14:paraId="02E36DBF"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Can I define the central terms without reading my notes?</w:t>
      </w:r>
    </w:p>
    <w:p w14:paraId="69F5EAD0"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Can I give the strongest version of a view I reject?</w:t>
      </w:r>
    </w:p>
    <w:p w14:paraId="1A3E10C6"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Can I state the broad finding of a class study and one conclusion it leaves open?</w:t>
      </w:r>
    </w:p>
    <w:p w14:paraId="5A1632ED"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Can I identify a missing normative or epistemic premise?</w:t>
      </w:r>
    </w:p>
    <w:p w14:paraId="20AC9461"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Can I apply a distinction to a new case rather than repeat the original example?</w:t>
      </w:r>
    </w:p>
    <w:p w14:paraId="17C4FE65" w14:textId="77777777" w:rsidR="00FE0925" w:rsidRPr="00DD232E" w:rsidRDefault="00000000" w:rsidP="00DD232E">
      <w:pPr>
        <w:pStyle w:val="ListBullet"/>
        <w:jc w:val="both"/>
        <w:rPr>
          <w:rFonts w:ascii="Times New Roman" w:hAnsi="Times New Roman" w:cs="Times New Roman"/>
          <w:sz w:val="24"/>
          <w:szCs w:val="24"/>
        </w:rPr>
      </w:pPr>
      <w:r w:rsidRPr="00DD232E">
        <w:rPr>
          <w:rFonts w:ascii="Times New Roman" w:hAnsi="Times New Roman" w:cs="Times New Roman"/>
          <w:sz w:val="24"/>
          <w:szCs w:val="24"/>
        </w:rPr>
        <w:t>Can I connect two units while preserving the differences between them?</w:t>
      </w:r>
    </w:p>
    <w:p w14:paraId="7B602228" w14:textId="77777777" w:rsidR="00FE0925" w:rsidRPr="00DD232E" w:rsidRDefault="00000000" w:rsidP="00DD232E">
      <w:pPr>
        <w:pStyle w:val="Heading2"/>
        <w:jc w:val="both"/>
        <w:rPr>
          <w:rFonts w:ascii="Times New Roman" w:hAnsi="Times New Roman" w:cs="Times New Roman"/>
          <w:szCs w:val="24"/>
        </w:rPr>
      </w:pPr>
      <w:r w:rsidRPr="00DD232E">
        <w:rPr>
          <w:rFonts w:ascii="Times New Roman" w:hAnsi="Times New Roman" w:cs="Times New Roman"/>
          <w:szCs w:val="24"/>
        </w:rPr>
        <w:t>A manageable review sequence</w:t>
      </w:r>
    </w:p>
    <w:p w14:paraId="320B64F3" w14:textId="77777777" w:rsidR="00FE0925" w:rsidRPr="00DD232E" w:rsidRDefault="00000000" w:rsidP="00DD232E">
      <w:pPr>
        <w:jc w:val="both"/>
        <w:rPr>
          <w:rFonts w:ascii="Times New Roman" w:hAnsi="Times New Roman" w:cs="Times New Roman"/>
          <w:sz w:val="24"/>
          <w:szCs w:val="24"/>
        </w:rPr>
      </w:pPr>
      <w:r w:rsidRPr="00DD232E">
        <w:rPr>
          <w:rFonts w:ascii="Times New Roman" w:hAnsi="Times New Roman" w:cs="Times New Roman"/>
          <w:sz w:val="24"/>
          <w:szCs w:val="24"/>
        </w:rPr>
        <w:t>First, review the basic neuroscience and ethical tools. Next, prepare separate outlines for free will and moral judgment. Give addiction enough time for both explanation and responsibility. Then work through the psychedelic objection and replies. Finish by writing two short answers and outlining two of the cross-topic essays above without notes. Use the references to repair gaps in those answers.</w:t>
      </w:r>
    </w:p>
    <w:sectPr w:rsidR="00FE0925" w:rsidRPr="00DD232E" w:rsidSect="00034616">
      <w:headerReference w:type="default" r:id="rId10"/>
      <w:footerReference w:type="default" r:id="rId11"/>
      <w:pgSz w:w="12240" w:h="15840"/>
      <w:pgMar w:top="907" w:right="1037" w:bottom="907"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BD14C5" w14:textId="77777777" w:rsidR="000031A9" w:rsidRDefault="000031A9">
      <w:pPr>
        <w:spacing w:after="0" w:line="240" w:lineRule="auto"/>
      </w:pPr>
      <w:r>
        <w:separator/>
      </w:r>
    </w:p>
  </w:endnote>
  <w:endnote w:type="continuationSeparator" w:id="0">
    <w:p w14:paraId="644568B5" w14:textId="77777777" w:rsidR="000031A9" w:rsidRDefault="00003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33155" w14:textId="08D8379E" w:rsidR="00FE0925" w:rsidRPr="00DD232E" w:rsidRDefault="00000000">
    <w:pPr>
      <w:pStyle w:val="Footer"/>
      <w:jc w:val="right"/>
      <w:rPr>
        <w:rFonts w:ascii="Times New Roman" w:hAnsi="Times New Roman" w:cs="Times New Roman"/>
      </w:rPr>
    </w:pPr>
    <w:r w:rsidRPr="00DD232E">
      <w:rPr>
        <w:rFonts w:ascii="Times New Roman" w:hAnsi="Times New Roman" w:cs="Times New Roman"/>
      </w:rPr>
      <w:fldChar w:fldCharType="begin"/>
    </w:r>
    <w:r w:rsidRPr="00DD232E">
      <w:rPr>
        <w:rFonts w:ascii="Times New Roman" w:hAnsi="Times New Roman" w:cs="Times New Roman"/>
      </w:rPr>
      <w:instrText>PAGE</w:instrText>
    </w:r>
    <w:r w:rsidRPr="00DD232E">
      <w:rPr>
        <w:rFonts w:ascii="Times New Roman" w:hAnsi="Times New Roman" w:cs="Times New Roman"/>
      </w:rPr>
      <w:fldChar w:fldCharType="separate"/>
    </w:r>
    <w:r w:rsidR="00DD232E" w:rsidRPr="00DD232E">
      <w:rPr>
        <w:rFonts w:ascii="Times New Roman" w:hAnsi="Times New Roman" w:cs="Times New Roman"/>
        <w:noProof/>
      </w:rPr>
      <w:t>1</w:t>
    </w:r>
    <w:r w:rsidRPr="00DD232E">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7328FB" w14:textId="77777777" w:rsidR="000031A9" w:rsidRDefault="000031A9">
      <w:pPr>
        <w:spacing w:after="0" w:line="240" w:lineRule="auto"/>
      </w:pPr>
      <w:r>
        <w:separator/>
      </w:r>
    </w:p>
  </w:footnote>
  <w:footnote w:type="continuationSeparator" w:id="0">
    <w:p w14:paraId="148B5B0B" w14:textId="77777777" w:rsidR="000031A9" w:rsidRDefault="00003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6CFF3" w14:textId="77777777" w:rsidR="00FE0925" w:rsidRPr="00DD232E" w:rsidRDefault="00000000">
    <w:pPr>
      <w:pStyle w:val="Header"/>
      <w:jc w:val="right"/>
      <w:rPr>
        <w:rFonts w:ascii="Times New Roman" w:hAnsi="Times New Roman" w:cs="Times New Roman"/>
      </w:rPr>
    </w:pPr>
    <w:r w:rsidRPr="00DD232E">
      <w:rPr>
        <w:rFonts w:ascii="Times New Roman" w:hAnsi="Times New Roman" w:cs="Times New Roman"/>
        <w:sz w:val="16"/>
      </w:rPr>
      <w:t xml:space="preserve">PHL NEU 251   </w:t>
    </w:r>
    <w:proofErr w:type="spellStart"/>
    <w:r w:rsidRPr="00DD232E">
      <w:rPr>
        <w:rFonts w:ascii="Times New Roman" w:hAnsi="Times New Roman" w:cs="Times New Roman"/>
        <w:sz w:val="16"/>
      </w:rPr>
      <w:t>Neuroethics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576">
    <w:abstractNumId w:val="8"/>
  </w:num>
  <w:num w:numId="2" w16cid:durableId="1243101029">
    <w:abstractNumId w:val="6"/>
  </w:num>
  <w:num w:numId="3" w16cid:durableId="1792505907">
    <w:abstractNumId w:val="5"/>
  </w:num>
  <w:num w:numId="4" w16cid:durableId="1514034861">
    <w:abstractNumId w:val="4"/>
  </w:num>
  <w:num w:numId="5" w16cid:durableId="185683039">
    <w:abstractNumId w:val="7"/>
  </w:num>
  <w:num w:numId="6" w16cid:durableId="1020471658">
    <w:abstractNumId w:val="3"/>
  </w:num>
  <w:num w:numId="7" w16cid:durableId="1294213277">
    <w:abstractNumId w:val="2"/>
  </w:num>
  <w:num w:numId="8" w16cid:durableId="50617389">
    <w:abstractNumId w:val="1"/>
  </w:num>
  <w:num w:numId="9" w16cid:durableId="18690985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1A9"/>
    <w:rsid w:val="00034616"/>
    <w:rsid w:val="0006063C"/>
    <w:rsid w:val="0015074B"/>
    <w:rsid w:val="0029639D"/>
    <w:rsid w:val="00326F90"/>
    <w:rsid w:val="005311AC"/>
    <w:rsid w:val="00AA1D8D"/>
    <w:rsid w:val="00B47730"/>
    <w:rsid w:val="00CB0664"/>
    <w:rsid w:val="00DD232E"/>
    <w:rsid w:val="00FC693F"/>
    <w:rsid w:val="00FE0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7FCEB1"/>
  <w14:defaultImageDpi w14:val="300"/>
  <w15:docId w15:val="{4C8E5562-41DA-C54D-8DEA-F827CF27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after="16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uroethics.samuelmurray.org/slid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euroethics.samuelmurray.org/read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3871</Words>
  <Characters>22067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Neuroethics Midterm Study Guide</dc:title>
  <dc:subject>Provisional essay review of the first five topics in PHL NEU 251</dc:subject>
  <dc:creator>Samuel Murray</dc:creator>
  <cp:keywords>neuroethics, midterm, study guide</cp:keywords>
  <dc:description>generated by python-docx</dc:description>
  <cp:lastModifiedBy>Murray, Samuel</cp:lastModifiedBy>
  <cp:revision>2</cp:revision>
  <dcterms:created xsi:type="dcterms:W3CDTF">2013-12-23T23:15:00Z</dcterms:created>
  <dcterms:modified xsi:type="dcterms:W3CDTF">2026-10-05T16:42:00Z</dcterms:modified>
  <cp:category/>
</cp:coreProperties>
</file>