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82B6DA" w14:textId="77777777" w:rsidR="00BE25D3" w:rsidRDefault="00000000">
      <w:pPr>
        <w:pStyle w:val="Title"/>
      </w:pPr>
      <w:r>
        <w:t>Neuroethics Research Paper</w:t>
      </w:r>
    </w:p>
    <w:p w14:paraId="67B162DD" w14:textId="44769BBD" w:rsidR="00BE25D3" w:rsidRDefault="00000000">
      <w:r>
        <w:t>Please write one 4–</w:t>
      </w:r>
      <w:proofErr w:type="gramStart"/>
      <w:r>
        <w:t>6 page</w:t>
      </w:r>
      <w:proofErr w:type="gramEnd"/>
      <w:r>
        <w:t xml:space="preserve"> paper responding to one of the prompts below. The paper should combine exposition and criticism: explain the relevant view, develop an argument about it, and defend your assessment. The assignment is worth 20% of your course grade</w:t>
      </w:r>
      <w:r w:rsidR="003F7326">
        <w:t>. You will submit a proposal, a rough draft, and a final draft.</w:t>
      </w:r>
    </w:p>
    <w:p w14:paraId="1B2A9A55" w14:textId="77777777" w:rsidR="00BE25D3" w:rsidRDefault="00000000">
      <w:pPr>
        <w:pStyle w:val="Heading1"/>
      </w:pPr>
      <w:r>
        <w:t>Deadlines and submission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68"/>
        <w:gridCol w:w="5256"/>
      </w:tblGrid>
      <w:tr w:rsidR="00BE25D3" w14:paraId="70D2995F" w14:textId="77777777">
        <w:trPr>
          <w:cantSplit/>
          <w:tblHeader/>
          <w:jc w:val="center"/>
        </w:trPr>
        <w:tc>
          <w:tcPr>
            <w:tcW w:w="4968" w:type="dxa"/>
            <w:shd w:val="clear" w:color="auto" w:fill="EDEDED"/>
            <w:tcMar>
              <w:top w:w="90" w:type="dxa"/>
              <w:left w:w="90" w:type="dxa"/>
              <w:bottom w:w="90" w:type="dxa"/>
              <w:right w:w="90" w:type="dxa"/>
            </w:tcMar>
            <w:vAlign w:val="center"/>
          </w:tcPr>
          <w:p w14:paraId="4C6F692C" w14:textId="77777777" w:rsidR="00BE25D3" w:rsidRDefault="00000000" w:rsidP="003F7326">
            <w:pPr>
              <w:spacing w:after="0"/>
              <w:jc w:val="center"/>
            </w:pPr>
            <w:r>
              <w:rPr>
                <w:b/>
                <w:sz w:val="22"/>
              </w:rPr>
              <w:t>What to submit</w:t>
            </w:r>
          </w:p>
        </w:tc>
        <w:tc>
          <w:tcPr>
            <w:tcW w:w="4968" w:type="dxa"/>
            <w:shd w:val="clear" w:color="auto" w:fill="EDEDED"/>
            <w:tcMar>
              <w:top w:w="90" w:type="dxa"/>
              <w:left w:w="90" w:type="dxa"/>
              <w:bottom w:w="90" w:type="dxa"/>
              <w:right w:w="90" w:type="dxa"/>
            </w:tcMar>
            <w:vAlign w:val="center"/>
          </w:tcPr>
          <w:p w14:paraId="6922A2F6" w14:textId="77777777" w:rsidR="00BE25D3" w:rsidRDefault="00000000" w:rsidP="003F7326">
            <w:pPr>
              <w:spacing w:after="0"/>
              <w:jc w:val="center"/>
            </w:pPr>
            <w:r>
              <w:rPr>
                <w:b/>
                <w:sz w:val="22"/>
              </w:rPr>
              <w:t>Due date</w:t>
            </w:r>
          </w:p>
        </w:tc>
      </w:tr>
      <w:tr w:rsidR="00BE25D3" w14:paraId="1DEB7F9C" w14:textId="77777777">
        <w:trPr>
          <w:cantSplit/>
          <w:jc w:val="center"/>
        </w:trPr>
        <w:tc>
          <w:tcPr>
            <w:tcW w:w="4680" w:type="dxa"/>
            <w:tcMar>
              <w:top w:w="90" w:type="dxa"/>
              <w:left w:w="90" w:type="dxa"/>
              <w:bottom w:w="90" w:type="dxa"/>
              <w:right w:w="90" w:type="dxa"/>
            </w:tcMar>
            <w:vAlign w:val="center"/>
          </w:tcPr>
          <w:p w14:paraId="5A52C1D4" w14:textId="77777777" w:rsidR="00BE25D3" w:rsidRDefault="00000000" w:rsidP="003F7326">
            <w:pPr>
              <w:spacing w:after="0"/>
              <w:jc w:val="center"/>
            </w:pPr>
            <w:r>
              <w:rPr>
                <w:sz w:val="22"/>
              </w:rPr>
              <w:t>Proposal</w:t>
            </w:r>
          </w:p>
        </w:tc>
        <w:tc>
          <w:tcPr>
            <w:tcW w:w="5256" w:type="dxa"/>
            <w:tcMar>
              <w:top w:w="90" w:type="dxa"/>
              <w:left w:w="90" w:type="dxa"/>
              <w:bottom w:w="90" w:type="dxa"/>
              <w:right w:w="90" w:type="dxa"/>
            </w:tcMar>
            <w:vAlign w:val="center"/>
          </w:tcPr>
          <w:p w14:paraId="33E2C6A5" w14:textId="77777777" w:rsidR="00BE25D3" w:rsidRDefault="00000000" w:rsidP="003F7326">
            <w:pPr>
              <w:spacing w:after="0"/>
              <w:jc w:val="center"/>
            </w:pPr>
            <w:r>
              <w:rPr>
                <w:sz w:val="22"/>
              </w:rPr>
              <w:t>Friday, November 6, 2026</w:t>
            </w:r>
          </w:p>
        </w:tc>
      </w:tr>
      <w:tr w:rsidR="00BE25D3" w14:paraId="615DEEA0" w14:textId="77777777">
        <w:trPr>
          <w:cantSplit/>
          <w:jc w:val="center"/>
        </w:trPr>
        <w:tc>
          <w:tcPr>
            <w:tcW w:w="4680" w:type="dxa"/>
            <w:tcMar>
              <w:top w:w="90" w:type="dxa"/>
              <w:left w:w="90" w:type="dxa"/>
              <w:bottom w:w="90" w:type="dxa"/>
              <w:right w:w="90" w:type="dxa"/>
            </w:tcMar>
            <w:vAlign w:val="center"/>
          </w:tcPr>
          <w:p w14:paraId="6E8B4B13" w14:textId="77777777" w:rsidR="00BE25D3" w:rsidRDefault="00000000" w:rsidP="003F7326">
            <w:pPr>
              <w:spacing w:after="0"/>
              <w:jc w:val="center"/>
            </w:pPr>
            <w:r>
              <w:rPr>
                <w:sz w:val="22"/>
              </w:rPr>
              <w:t>Complete rough draft</w:t>
            </w:r>
          </w:p>
        </w:tc>
        <w:tc>
          <w:tcPr>
            <w:tcW w:w="5256" w:type="dxa"/>
            <w:tcMar>
              <w:top w:w="90" w:type="dxa"/>
              <w:left w:w="90" w:type="dxa"/>
              <w:bottom w:w="90" w:type="dxa"/>
              <w:right w:w="90" w:type="dxa"/>
            </w:tcMar>
            <w:vAlign w:val="center"/>
          </w:tcPr>
          <w:p w14:paraId="70CC1C13" w14:textId="77777777" w:rsidR="00BE25D3" w:rsidRDefault="00000000" w:rsidP="003F7326">
            <w:pPr>
              <w:spacing w:after="0"/>
              <w:jc w:val="center"/>
            </w:pPr>
            <w:r>
              <w:rPr>
                <w:sz w:val="22"/>
              </w:rPr>
              <w:t>Friday, November 20, 2026</w:t>
            </w:r>
          </w:p>
        </w:tc>
      </w:tr>
      <w:tr w:rsidR="00BE25D3" w14:paraId="3B19DA30" w14:textId="77777777">
        <w:trPr>
          <w:cantSplit/>
          <w:jc w:val="center"/>
        </w:trPr>
        <w:tc>
          <w:tcPr>
            <w:tcW w:w="4680" w:type="dxa"/>
            <w:tcMar>
              <w:top w:w="90" w:type="dxa"/>
              <w:left w:w="90" w:type="dxa"/>
              <w:bottom w:w="90" w:type="dxa"/>
              <w:right w:w="90" w:type="dxa"/>
            </w:tcMar>
            <w:vAlign w:val="center"/>
          </w:tcPr>
          <w:p w14:paraId="6B98555A" w14:textId="77777777" w:rsidR="00BE25D3" w:rsidRDefault="00000000" w:rsidP="003F7326">
            <w:pPr>
              <w:spacing w:after="0"/>
              <w:jc w:val="center"/>
            </w:pPr>
            <w:r>
              <w:rPr>
                <w:sz w:val="22"/>
              </w:rPr>
              <w:t>Final draft and revision note</w:t>
            </w:r>
          </w:p>
        </w:tc>
        <w:tc>
          <w:tcPr>
            <w:tcW w:w="5256" w:type="dxa"/>
            <w:tcMar>
              <w:top w:w="90" w:type="dxa"/>
              <w:left w:w="90" w:type="dxa"/>
              <w:bottom w:w="90" w:type="dxa"/>
              <w:right w:w="90" w:type="dxa"/>
            </w:tcMar>
            <w:vAlign w:val="center"/>
          </w:tcPr>
          <w:p w14:paraId="4E0F46BF" w14:textId="77777777" w:rsidR="00BE25D3" w:rsidRDefault="00000000" w:rsidP="003F7326">
            <w:pPr>
              <w:spacing w:after="0"/>
              <w:jc w:val="center"/>
            </w:pPr>
            <w:r>
              <w:rPr>
                <w:sz w:val="22"/>
              </w:rPr>
              <w:t>Friday, December 4, 2026</w:t>
            </w:r>
          </w:p>
        </w:tc>
      </w:tr>
    </w:tbl>
    <w:p w14:paraId="69D4443E" w14:textId="77777777" w:rsidR="00BE25D3" w:rsidRDefault="00000000">
      <w:pPr>
        <w:spacing w:before="140"/>
      </w:pPr>
      <w:r>
        <w:t>Submit each stage on Canvas. Each stage is required. I will comment on your proposal and rough draft so that you can use the feedback in the next submission.</w:t>
      </w:r>
    </w:p>
    <w:p w14:paraId="0F4AF271" w14:textId="77777777" w:rsidR="00BE25D3" w:rsidRDefault="00000000">
      <w:pPr>
        <w:pStyle w:val="Heading1"/>
      </w:pPr>
      <w:r>
        <w:t>Proposal</w:t>
      </w:r>
    </w:p>
    <w:p w14:paraId="49438C74" w14:textId="77777777" w:rsidR="00BE25D3" w:rsidRDefault="00000000">
      <w:r>
        <w:t>Identify your prompt by number and write one substantial introductory paragraph, approximately 200–300 words. State the question you will address, your provisional answer, and the main reason you expect to offer for that answer. Identify a serious objection or difficulty you will need to address. Below the paragraph, list the assigned text or texts you plan to use, with relevant chapters or passages.</w:t>
      </w:r>
    </w:p>
    <w:p w14:paraId="3F7008D8" w14:textId="34BACE19" w:rsidR="00BE25D3" w:rsidRDefault="00000000">
      <w:r>
        <w:t xml:space="preserve">The proposal should give me an argument to respond to. “I will write about addiction” </w:t>
      </w:r>
      <w:r w:rsidR="003F7326">
        <w:t>is not an argument</w:t>
      </w:r>
      <w:r>
        <w:t>. Your thesis can change as you work. That is part of the point of submitting a proposal.</w:t>
      </w:r>
    </w:p>
    <w:p w14:paraId="2E412209" w14:textId="77777777" w:rsidR="00BE25D3" w:rsidRDefault="00000000">
      <w:pPr>
        <w:pStyle w:val="Heading1"/>
      </w:pPr>
      <w:r>
        <w:t>Rough draft</w:t>
      </w:r>
    </w:p>
    <w:p w14:paraId="13C3828C" w14:textId="77777777" w:rsidR="00BE25D3" w:rsidRDefault="00000000">
      <w:r>
        <w:t>Submit a complete 4–6 page draft. It should contain an introduction with a thesis, enough exposition to make the issue clear, your argument, a serious objection and reply, and a brief conclusion. Include citations and a list of references. Revise the proposal in light of my comments before developing the full draft.</w:t>
      </w:r>
    </w:p>
    <w:p w14:paraId="4E73EF14" w14:textId="77777777" w:rsidR="00BE25D3" w:rsidRDefault="00000000">
      <w:r>
        <w:t>“Rough” means that the argument and prose still need work. It should nevertheless be possible to read the paper from beginning to end and understand the case you are making. At the end, add one or two specific questions you would especially like feedback on. These questions do not count toward the page limit.</w:t>
      </w:r>
    </w:p>
    <w:p w14:paraId="50A7B146" w14:textId="77777777" w:rsidR="00BE25D3" w:rsidRDefault="00000000">
      <w:r>
        <w:br w:type="page"/>
      </w:r>
    </w:p>
    <w:p w14:paraId="4C48B08E" w14:textId="77777777" w:rsidR="00BE25D3" w:rsidRDefault="00000000">
      <w:pPr>
        <w:pStyle w:val="Heading1"/>
      </w:pPr>
      <w:r>
        <w:lastRenderedPageBreak/>
        <w:t>Feedback and final draft</w:t>
      </w:r>
    </w:p>
    <w:p w14:paraId="1BAA2788" w14:textId="77777777" w:rsidR="00BE25D3" w:rsidRDefault="00000000">
      <w:r>
        <w:t>Use my comments on the rough draft to identify the most important problems in the paper. Start with the argument: does the thesis need to be narrowed, does a premise need more support, or does the reply miss the force of the objection? Then work on organization and prose. Revision may require changing your conclusion. You do not need to preserve your original position.</w:t>
      </w:r>
    </w:p>
    <w:p w14:paraId="69BB4E1E" w14:textId="77777777" w:rsidR="00BE25D3" w:rsidRDefault="00000000">
      <w:r>
        <w:t>The final draft should be a revised 4–6 page paper. Please also include a short revision note, approximately 150–200 words, explaining the most substantial changes you made and how they address the feedback. If you decided against a suggested change, explain why. The note and reference list do not count toward the page limit.</w:t>
      </w:r>
    </w:p>
    <w:p w14:paraId="51B0BA33" w14:textId="77777777" w:rsidR="00BE25D3" w:rsidRDefault="00000000">
      <w:pPr>
        <w:pStyle w:val="Heading1"/>
      </w:pPr>
      <w:r>
        <w:t>Writing the paper</w:t>
      </w:r>
    </w:p>
    <w:p w14:paraId="03E4268D" w14:textId="77777777" w:rsidR="00BE25D3" w:rsidRDefault="00000000">
      <w:r>
        <w:rPr>
          <w:b/>
        </w:rPr>
        <w:t xml:space="preserve">Start with your thesis. </w:t>
      </w:r>
      <w:r>
        <w:t>By the end of the first paragraph, the reader should know what you will argue and how you plan to argue for it. First-person language is fine: “I argue that…” is often a useful way to begin. Avoid dictionary definitions and broad claims about what people have wondered throughout history.</w:t>
      </w:r>
    </w:p>
    <w:p w14:paraId="62A7918A" w14:textId="77777777" w:rsidR="00BE25D3" w:rsidRDefault="00000000">
      <w:r>
        <w:rPr>
          <w:b/>
        </w:rPr>
        <w:t xml:space="preserve">Explain the view fairly. </w:t>
      </w:r>
      <w:r>
        <w:t>Give the reader enough background to understand the argument you are evaluating. Define technical terms, explain why the author holds the view, and use the assigned text to support your interpretation. Focus on the parts that matter for your argument.</w:t>
      </w:r>
    </w:p>
    <w:p w14:paraId="51873C50" w14:textId="77777777" w:rsidR="00BE25D3" w:rsidRDefault="00000000">
      <w:r>
        <w:rPr>
          <w:b/>
        </w:rPr>
        <w:t xml:space="preserve">Give reasons and connect the steps. </w:t>
      </w:r>
      <w:r>
        <w:t>Explain why your premises are plausible and how they support your conclusion. Distinguish empirical findings from ethical claims, and explain the connection when your argument moves from one to the other. Write the argument in connected prose.</w:t>
      </w:r>
    </w:p>
    <w:p w14:paraId="4C21B974" w14:textId="77777777" w:rsidR="00BE25D3" w:rsidRDefault="00000000">
      <w:r>
        <w:rPr>
          <w:b/>
        </w:rPr>
        <w:t xml:space="preserve">Take the objection seriously. </w:t>
      </w:r>
      <w:r>
        <w:t>Present the strongest reasonable challenge to the argument you defend. Identify a premise or inference that could be disputed. Simply disagreeing with the conclusion does not explain what has gone wrong. Your reply should address the objection directly; repeating the thesis is not enough.</w:t>
      </w:r>
    </w:p>
    <w:p w14:paraId="44D482AA" w14:textId="77777777" w:rsidR="00BE25D3" w:rsidRDefault="00000000">
      <w:r>
        <w:rPr>
          <w:b/>
        </w:rPr>
        <w:t xml:space="preserve">Make a contribution. </w:t>
      </w:r>
      <w:r>
        <w:t>A good paper develops some part of the discussion beyond what was covered in class. You might improve an objection, draw a distinction, test an argument against a case, or explain why a reply succeeds or fails. A paper that only repeats the lectures cannot receive full credit.</w:t>
      </w:r>
    </w:p>
    <w:p w14:paraId="27A58056" w14:textId="77777777" w:rsidR="00BE25D3" w:rsidRDefault="00000000">
      <w:pPr>
        <w:pStyle w:val="Heading1"/>
      </w:pPr>
      <w:r>
        <w:t>Sources format and evaluation</w:t>
      </w:r>
    </w:p>
    <w:p w14:paraId="13392F26" w14:textId="77777777" w:rsidR="00BE25D3" w:rsidRDefault="00000000">
      <w:r>
        <w:t>Additional sources may be consulted but are not required. Close engagement with the assigned readings should provide the basis for the paper. Cite both quotations and paraphrases, include page numbers where available, and use a consistent citation style. Include a reference list. The course academic integrity policy applies to every stage.</w:t>
      </w:r>
    </w:p>
    <w:p w14:paraId="13D2785C" w14:textId="77777777" w:rsidR="00BE25D3" w:rsidRDefault="00000000">
      <w:r>
        <w:t>Use double spacing, a readable 12-point font, normal margins, and page numbers for the rough and final drafts. Put your name, course, and prompt number on the first page. I am interested in whether you develop the argument adequately within the space available. Plan before writing, leave time to revise, and read the paper aloud before submitting it.</w:t>
      </w:r>
    </w:p>
    <w:p w14:paraId="0C6013B4" w14:textId="77777777" w:rsidR="00BE25D3" w:rsidRDefault="00000000">
      <w:r>
        <w:t>I will evaluate the clarity and scope of your thesis, the strength of your main argument, and your evaluation of the views and objections raised by the prompt. Address every part of your prompt, but give the most space to the issue on which your argument turns.</w:t>
      </w:r>
    </w:p>
    <w:p w14:paraId="5CE08F4B" w14:textId="77777777" w:rsidR="00BE25D3" w:rsidRDefault="00000000">
      <w:r>
        <w:br w:type="page"/>
      </w:r>
    </w:p>
    <w:p w14:paraId="2DE62536" w14:textId="77777777" w:rsidR="00BE25D3" w:rsidRDefault="00000000">
      <w:pPr>
        <w:pStyle w:val="Heading1"/>
      </w:pPr>
      <w:r>
        <w:lastRenderedPageBreak/>
        <w:t>Paper topics</w:t>
      </w:r>
    </w:p>
    <w:p w14:paraId="712E50D8" w14:textId="77777777" w:rsidR="00BE25D3" w:rsidRDefault="00000000">
      <w:r>
        <w:t>Choose one prompt. The references below identify useful starting points; use the assigned selections listed on the course schedule. You may defend or criticize the views under discussion, provided you give reasons for your assessment.</w:t>
      </w:r>
    </w:p>
    <w:p w14:paraId="18E07292" w14:textId="77777777" w:rsidR="00BE25D3" w:rsidRDefault="00000000">
      <w:pPr>
        <w:pStyle w:val="Heading2"/>
      </w:pPr>
      <w:r>
        <w:t>1 Addiction choice and brain disease</w:t>
      </w:r>
    </w:p>
    <w:p w14:paraId="75980781" w14:textId="77777777" w:rsidR="00BE25D3" w:rsidRDefault="00000000">
      <w:pPr>
        <w:spacing w:after="60"/>
      </w:pPr>
      <w:r>
        <w:t>Does evidence that people with addiction respond to incentives undermine the brain-disease model of addiction? Explain one argument for thinking that it does. How might a defender of the model respond? Critically assess that response. (Be careful to distinguish having some control from having unimpaired control.) What follows for how we should respond to people with addiction?</w:t>
      </w:r>
    </w:p>
    <w:p w14:paraId="6464D01B" w14:textId="77777777" w:rsidR="00BE25D3" w:rsidRDefault="00000000">
      <w:pPr>
        <w:spacing w:after="60"/>
      </w:pPr>
      <w:r>
        <w:rPr>
          <w:i/>
          <w:sz w:val="21"/>
        </w:rPr>
        <w:t>May, ch. 5; Pickard, ch. 6; the lectures on control and models of addiction.</w:t>
      </w:r>
    </w:p>
    <w:p w14:paraId="0A907966" w14:textId="77777777" w:rsidR="00BE25D3" w:rsidRDefault="00000000">
      <w:pPr>
        <w:pStyle w:val="Heading2"/>
      </w:pPr>
      <w:r>
        <w:t>2 Responsibility without blame</w:t>
      </w:r>
    </w:p>
    <w:p w14:paraId="638DEC82" w14:textId="77777777" w:rsidR="00BE25D3" w:rsidRDefault="00000000">
      <w:pPr>
        <w:spacing w:after="60"/>
      </w:pPr>
      <w:r>
        <w:t>What does Pickard mean by holding someone responsible without blaming them? Explain how this approach is supposed to work. Then consider the objection that it fails to take sufficiently seriously the claims of people harmed by someone’s conduct. Can Pickard accommodate those claims without giving up her approach?</w:t>
      </w:r>
    </w:p>
    <w:p w14:paraId="56B728BE" w14:textId="77777777" w:rsidR="00BE25D3" w:rsidRDefault="00000000">
      <w:pPr>
        <w:spacing w:after="60"/>
      </w:pPr>
      <w:r>
        <w:rPr>
          <w:i/>
          <w:sz w:val="21"/>
        </w:rPr>
        <w:t>Pickard, ch. 19; the responsibility-without-blame lecture. Chapters 16–18 provide additional background.</w:t>
      </w:r>
    </w:p>
    <w:p w14:paraId="4BA2E1FB" w14:textId="77777777" w:rsidR="00BE25D3" w:rsidRDefault="00000000">
      <w:pPr>
        <w:pStyle w:val="Heading2"/>
      </w:pPr>
      <w:r>
        <w:t>3 Who decides whether drug use is bad for someone</w:t>
      </w:r>
    </w:p>
    <w:p w14:paraId="42C435AC" w14:textId="77777777" w:rsidR="00BE25D3" w:rsidRDefault="00000000">
      <w:pPr>
        <w:spacing w:after="60"/>
      </w:pPr>
      <w:r>
        <w:t>Suppose someone understands the costs of continued drug use and nevertheless thinks that using is worth those costs. Does this settle whether their drug use is bad for them? Explain Pickard’s treatment of this question and critically assess one reason for challenging the person’s judgment. When, if ever, would such a challenge justify overriding their wishes?</w:t>
      </w:r>
    </w:p>
    <w:p w14:paraId="7C4BD901" w14:textId="77777777" w:rsidR="00BE25D3" w:rsidRDefault="00000000">
      <w:pPr>
        <w:spacing w:after="60"/>
      </w:pPr>
      <w:r>
        <w:rPr>
          <w:i/>
          <w:sz w:val="21"/>
        </w:rPr>
        <w:t>Pickard, ch. 4; the lecture discussions of self-determination, values, and intervention.</w:t>
      </w:r>
    </w:p>
    <w:p w14:paraId="04D0ED2F" w14:textId="77777777" w:rsidR="00BE25D3" w:rsidRDefault="00000000">
      <w:pPr>
        <w:pStyle w:val="Heading2"/>
      </w:pPr>
      <w:r>
        <w:t>4 Psychedelic therapy and comforting delusions</w:t>
      </w:r>
    </w:p>
    <w:p w14:paraId="5E27D440" w14:textId="77777777" w:rsidR="00BE25D3" w:rsidRDefault="00000000">
      <w:pPr>
        <w:spacing w:after="60"/>
      </w:pPr>
      <w:r>
        <w:t>What is the comforting-delusion objection to psychedelic therapy? Explain one of Letheby’s responses and assess whether it succeeds. If a treatment did produce lasting psychological benefits partly by encouraging false beliefs, would that give us sufficient reason to reject it? (Keep separate the question of how the treatment works and the question of whether that way of working is acceptable.)</w:t>
      </w:r>
    </w:p>
    <w:p w14:paraId="39069396" w14:textId="77777777" w:rsidR="00BE25D3" w:rsidRDefault="00000000">
      <w:pPr>
        <w:spacing w:after="60"/>
      </w:pPr>
      <w:r>
        <w:rPr>
          <w:i/>
          <w:sz w:val="21"/>
        </w:rPr>
        <w:t>Letheby, chs. 2 and 8; Psychedelics I.</w:t>
      </w:r>
    </w:p>
    <w:p w14:paraId="4C58B064" w14:textId="77777777" w:rsidR="00BE25D3" w:rsidRDefault="00000000">
      <w:pPr>
        <w:pStyle w:val="Heading2"/>
      </w:pPr>
      <w:r>
        <w:t>5 Insight or merely the feeling of insight</w:t>
      </w:r>
    </w:p>
    <w:p w14:paraId="0173D070" w14:textId="77777777" w:rsidR="00BE25D3" w:rsidRDefault="00000000">
      <w:pPr>
        <w:spacing w:after="60"/>
      </w:pPr>
      <w:r>
        <w:t>Can a psychedelic experience provide genuine self-knowledge? Explain Letheby’s distinction between discovering a possible insight and having good reason to accept it. Present one difficulty for his account. Can subsequent reflection resolve that difficulty, or might it simply reinforce an attractive but mistaken interpretation? Discuss what your answer implies for how therapists should respond to patients’ reported insights.</w:t>
      </w:r>
    </w:p>
    <w:p w14:paraId="530FFF93" w14:textId="77777777" w:rsidR="00BE25D3" w:rsidRDefault="00000000">
      <w:pPr>
        <w:spacing w:after="60"/>
      </w:pPr>
      <w:r>
        <w:rPr>
          <w:i/>
          <w:sz w:val="21"/>
        </w:rPr>
        <w:t>Letheby, ch. 8; the lecture discussions of noetic certainty and “placebo insights.”</w:t>
      </w:r>
    </w:p>
    <w:p w14:paraId="27CC8EA9" w14:textId="77777777" w:rsidR="00BE25D3" w:rsidRDefault="00000000">
      <w:pPr>
        <w:pStyle w:val="Heading2"/>
      </w:pPr>
      <w:r>
        <w:t>6 Unselfing and moral improvement</w:t>
      </w:r>
    </w:p>
    <w:p w14:paraId="6D89A9AE" w14:textId="77777777" w:rsidR="00BE25D3" w:rsidRDefault="00000000">
      <w:pPr>
        <w:spacing w:after="60"/>
      </w:pPr>
      <w:r>
        <w:t>What does Letheby mean by “naturalistic spirituality,” and what role does Murdoch’s idea of unselfing play in his account? Does becoming less preoccupied with oneself amount to becoming morally better? Give one argument for this connection and one against it. Critically discuss whichever argument you take to be stronger.</w:t>
      </w:r>
    </w:p>
    <w:p w14:paraId="553F7291" w14:textId="77777777" w:rsidR="00BE25D3" w:rsidRDefault="00000000">
      <w:pPr>
        <w:spacing w:after="60"/>
      </w:pPr>
      <w:r>
        <w:rPr>
          <w:i/>
          <w:sz w:val="21"/>
        </w:rPr>
        <w:t>Letheby, ch. 9; Psychedelics II.</w:t>
      </w:r>
    </w:p>
    <w:p w14:paraId="7E1B1657" w14:textId="77777777" w:rsidR="00BE25D3" w:rsidRDefault="00000000">
      <w:r>
        <w:br w:type="page"/>
      </w:r>
    </w:p>
    <w:p w14:paraId="3AE15FBF" w14:textId="77777777" w:rsidR="00BE25D3" w:rsidRDefault="00000000">
      <w:pPr>
        <w:pStyle w:val="Heading2"/>
      </w:pPr>
      <w:r>
        <w:lastRenderedPageBreak/>
        <w:t>7 Can a constructed self still matter</w:t>
      </w:r>
    </w:p>
    <w:p w14:paraId="7322F4BB" w14:textId="77777777" w:rsidR="00BE25D3" w:rsidRDefault="00000000">
      <w:pPr>
        <w:spacing w:after="60"/>
      </w:pPr>
      <w:r>
        <w:t>If our sense of self is constructed by the brain, does this undermine the claim that things can be genuinely good or bad for us? Explain the argument that creates this problem and assess one response. (Be sure to distinguish explaining our experience of being a self from showing that there is no real subject of experience.)</w:t>
      </w:r>
    </w:p>
    <w:p w14:paraId="1F139BAD" w14:textId="77777777" w:rsidR="00BE25D3" w:rsidRDefault="00000000">
      <w:pPr>
        <w:spacing w:after="60"/>
      </w:pPr>
      <w:r>
        <w:rPr>
          <w:i/>
          <w:sz w:val="21"/>
        </w:rPr>
        <w:t>Seth, chs. 8–9; the “Reality and Value” puzzle in The Constructed Self.</w:t>
      </w:r>
    </w:p>
    <w:p w14:paraId="4E480B59" w14:textId="77777777" w:rsidR="00BE25D3" w:rsidRDefault="00000000">
      <w:pPr>
        <w:pStyle w:val="Heading2"/>
      </w:pPr>
      <w:r>
        <w:t>8 Animal consciousness and the burden of proof</w:t>
      </w:r>
    </w:p>
    <w:p w14:paraId="3CE82475" w14:textId="77777777" w:rsidR="00BE25D3" w:rsidRDefault="00000000">
      <w:pPr>
        <w:spacing w:after="60"/>
      </w:pPr>
      <w:r>
        <w:t>Why does Andrews propose that scientists begin with the hypothesis that all animals are conscious? Explain one reason for adopting this starting point and one objection to it. Should the assumptions that guide scientific research also guide decisions about how animals may be treated? (Sebo’s distinction between scientific and ethical purposes will be useful here.)</w:t>
      </w:r>
    </w:p>
    <w:p w14:paraId="30CB6F27" w14:textId="77777777" w:rsidR="00BE25D3" w:rsidRDefault="00000000">
      <w:pPr>
        <w:spacing w:after="60"/>
      </w:pPr>
      <w:r>
        <w:rPr>
          <w:i/>
          <w:sz w:val="21"/>
        </w:rPr>
        <w:t>Andrews, “All Animals Are Conscious”; Sebo, “Everything and Nothing Is Conscious.”</w:t>
      </w:r>
    </w:p>
    <w:p w14:paraId="0773EC0F" w14:textId="77777777" w:rsidR="00BE25D3" w:rsidRDefault="00000000">
      <w:pPr>
        <w:pStyle w:val="Heading2"/>
      </w:pPr>
      <w:r>
        <w:t>9 Testing animal and machine consciousness</w:t>
      </w:r>
    </w:p>
    <w:p w14:paraId="0533BA78" w14:textId="77777777" w:rsidR="00BE25D3" w:rsidRDefault="00000000">
      <w:pPr>
        <w:spacing w:after="60"/>
      </w:pPr>
      <w:r>
        <w:t>According to Dung, under what conditions can tests of animal consciousness also provide evidence of machine consciousness? Explain his response to the possibility that a machine could be designed merely to pass the test. Is that response adequate? Discuss one implication of your answer for whether passing such a test should give a machine a claim to moral consideration.</w:t>
      </w:r>
    </w:p>
    <w:p w14:paraId="2C8537DB" w14:textId="77777777" w:rsidR="00BE25D3" w:rsidRDefault="00000000">
      <w:pPr>
        <w:spacing w:after="60"/>
      </w:pPr>
      <w:r>
        <w:rPr>
          <w:i/>
          <w:sz w:val="21"/>
        </w:rPr>
        <w:t>Dung, “Tests of Animal Consciousness Are Tests of Machine Consciousness”; Hildt; the consciousness lecture’s distinction between evidence and realization.</w:t>
      </w:r>
    </w:p>
    <w:p w14:paraId="0DBC911F" w14:textId="77777777" w:rsidR="00BE25D3" w:rsidRDefault="00000000">
      <w:pPr>
        <w:pStyle w:val="Heading2"/>
      </w:pPr>
      <w:r>
        <w:t>10 Does neurodiversity face a dilemma</w:t>
      </w:r>
    </w:p>
    <w:p w14:paraId="16180D75" w14:textId="77777777" w:rsidR="00BE25D3" w:rsidRDefault="00000000">
      <w:pPr>
        <w:spacing w:after="60"/>
      </w:pPr>
      <w:r>
        <w:t>Shields and Beversdorf argue that the neurodiversity movement’s effort to de-pathologize autism may conflict with its effort to protect autistic people’s rights and interests. Explain their argument using one of their cases. Is the conflict unavoidable? Consider whether limitations relevant to responsibility can be acknowledged without treating the person’s entire condition as a pathology.</w:t>
      </w:r>
    </w:p>
    <w:p w14:paraId="33C90803" w14:textId="77777777" w:rsidR="00BE25D3" w:rsidRDefault="00000000">
      <w:pPr>
        <w:spacing w:after="60"/>
      </w:pPr>
      <w:r>
        <w:rPr>
          <w:i/>
          <w:sz w:val="21"/>
        </w:rPr>
        <w:t>Shields and Beversdorf, “A Dilemma for Neurodiversity”; May, ch. 4.</w:t>
      </w:r>
    </w:p>
    <w:p w14:paraId="42453202" w14:textId="77777777" w:rsidR="00BE25D3" w:rsidRDefault="00000000">
      <w:pPr>
        <w:pStyle w:val="Heading2"/>
      </w:pPr>
      <w:r>
        <w:t>11 Treating a condition or changing a person</w:t>
      </w:r>
    </w:p>
    <w:p w14:paraId="739C452C" w14:textId="77777777" w:rsidR="00BE25D3" w:rsidRDefault="00000000">
      <w:pPr>
        <w:spacing w:after="60"/>
      </w:pPr>
      <w:r>
        <w:t>Why do Arnaud and Gibson think that some criticisms of the neurodiversity movement misunderstand its claims about identity? Explain the assumption they call the “hypostatic abstraction principle.” Does rejecting that assumption leave room for treatment that improves someone’s life? Give one objection to their account and assess how they might respond.</w:t>
      </w:r>
    </w:p>
    <w:p w14:paraId="4D16B001" w14:textId="77777777" w:rsidR="00BE25D3" w:rsidRDefault="00000000">
      <w:pPr>
        <w:spacing w:after="60"/>
      </w:pPr>
      <w:r>
        <w:rPr>
          <w:i/>
          <w:sz w:val="21"/>
        </w:rPr>
        <w:t>Arnaud and Gibson, “Neurodiversity, Identity, and Hypostatic Abstraction.”</w:t>
      </w:r>
    </w:p>
    <w:p w14:paraId="7A6AFC56" w14:textId="77777777" w:rsidR="00BE25D3" w:rsidRDefault="00000000">
      <w:pPr>
        <w:pStyle w:val="Heading2"/>
      </w:pPr>
      <w:r>
        <w:t>12 Can a brain intervention both enhance and diminish agency</w:t>
      </w:r>
    </w:p>
    <w:p w14:paraId="755F779C" w14:textId="77777777" w:rsidR="00BE25D3" w:rsidRDefault="00000000">
      <w:pPr>
        <w:spacing w:after="60"/>
      </w:pPr>
      <w:r>
        <w:t>Suppose a brain intervention restores someone’s ability to act while also changing their preferences or weakening their trust in themselves. Has the intervention enhanced their agency? Explain why Roskies or Schönau and colleagues favor a multidimensional account of agency, and assess whether that approach helps resolve the case. (Focus on two dimensions rather than trying to discuss every possible effect.)</w:t>
      </w:r>
    </w:p>
    <w:p w14:paraId="6A7C8BFD" w14:textId="77777777" w:rsidR="00BE25D3" w:rsidRDefault="00000000">
      <w:pPr>
        <w:spacing w:after="60"/>
      </w:pPr>
      <w:r>
        <w:rPr>
          <w:i/>
          <w:sz w:val="21"/>
        </w:rPr>
        <w:t>Roskies, “Agency and Intervention”; Schönau and colleagues, “Mapping the Dimensions of Agency.”</w:t>
      </w:r>
    </w:p>
    <w:sectPr w:rsidR="00BE25D3" w:rsidSect="00034616">
      <w:footerReference w:type="default" r:id="rId8"/>
      <w:pgSz w:w="12240" w:h="15840"/>
      <w:pgMar w:top="1037" w:right="1152" w:bottom="1037"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6B5519" w14:textId="77777777" w:rsidR="00752F03" w:rsidRDefault="00752F03">
      <w:pPr>
        <w:spacing w:after="0"/>
      </w:pPr>
      <w:r>
        <w:separator/>
      </w:r>
    </w:p>
  </w:endnote>
  <w:endnote w:type="continuationSeparator" w:id="0">
    <w:p w14:paraId="358F69C8" w14:textId="77777777" w:rsidR="00752F03" w:rsidRDefault="00752F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AF0F6" w14:textId="77777777" w:rsidR="00BE25D3" w:rsidRDefault="00000000">
    <w:pPr>
      <w:pStyle w:val="Footer"/>
      <w:jc w:val="center"/>
    </w:pPr>
    <w:r>
      <w:fldChar w:fldCharType="begin"/>
    </w:r>
    <w:r>
      <w:instrText>PAGE</w:instrText>
    </w:r>
    <w:r>
      <w:fldChar w:fldCharType="separate"/>
    </w:r>
    <w:r w:rsidR="003F732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6BD308" w14:textId="77777777" w:rsidR="00752F03" w:rsidRDefault="00752F03">
      <w:pPr>
        <w:spacing w:after="0"/>
      </w:pPr>
      <w:r>
        <w:separator/>
      </w:r>
    </w:p>
  </w:footnote>
  <w:footnote w:type="continuationSeparator" w:id="0">
    <w:p w14:paraId="4787230D" w14:textId="77777777" w:rsidR="00752F03" w:rsidRDefault="00752F0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3327415">
    <w:abstractNumId w:val="8"/>
  </w:num>
  <w:num w:numId="2" w16cid:durableId="812455141">
    <w:abstractNumId w:val="6"/>
  </w:num>
  <w:num w:numId="3" w16cid:durableId="632323393">
    <w:abstractNumId w:val="5"/>
  </w:num>
  <w:num w:numId="4" w16cid:durableId="1907914396">
    <w:abstractNumId w:val="4"/>
  </w:num>
  <w:num w:numId="5" w16cid:durableId="1936865440">
    <w:abstractNumId w:val="7"/>
  </w:num>
  <w:num w:numId="6" w16cid:durableId="696472689">
    <w:abstractNumId w:val="3"/>
  </w:num>
  <w:num w:numId="7" w16cid:durableId="1261839990">
    <w:abstractNumId w:val="2"/>
  </w:num>
  <w:num w:numId="8" w16cid:durableId="743185423">
    <w:abstractNumId w:val="1"/>
  </w:num>
  <w:num w:numId="9" w16cid:durableId="15199322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7326"/>
    <w:rsid w:val="00752F03"/>
    <w:rsid w:val="00AA1D8D"/>
    <w:rsid w:val="00B47730"/>
    <w:rsid w:val="00BE25D3"/>
    <w:rsid w:val="00CB0664"/>
    <w:rsid w:val="00CB38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1907A3"/>
  <w14:defaultImageDpi w14:val="300"/>
  <w15:docId w15:val="{2440C91C-FF1D-AE40-BA81-FC0099C5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00" w:after="8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contextualSpacing/>
    </w:pPr>
    <w:rPr>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1691</Words>
  <Characters>9644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Neuroethics Research Paper</dc:title>
  <dc:subject>Staged assignment and twelve paper prompts for PHL/NEU 251</dc:subject>
  <dc:creator>Samuel Murray</dc:creator>
  <cp:keywords>Neuroethics, research paper, assignment</cp:keywords>
  <dc:description>generated by python-docx</dc:description>
  <cp:lastModifiedBy>Murray, Samuel</cp:lastModifiedBy>
  <cp:revision>2</cp:revision>
  <dcterms:created xsi:type="dcterms:W3CDTF">2013-12-23T23:15:00Z</dcterms:created>
  <dcterms:modified xsi:type="dcterms:W3CDTF">2026-10-20T02:44:00Z</dcterms:modified>
  <cp:category/>
</cp:coreProperties>
</file>